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FFD30">
      <w:pPr>
        <w:rPr>
          <w:color w:val="000000" w:themeColor="text1"/>
          <w14:textFill>
            <w14:solidFill>
              <w14:schemeClr w14:val="tx1"/>
            </w14:solidFill>
          </w14:textFill>
        </w:rPr>
      </w:pPr>
    </w:p>
    <w:p w14:paraId="7A072E1A">
      <w:pPr>
        <w:ind w:firstLine="440" w:firstLineChars="100"/>
        <w:rPr>
          <w:rFonts w:ascii="彩虹粗仿宋" w:hAnsi="彩虹粗仿宋" w:eastAsia="彩虹粗仿宋" w:cs="彩虹粗仿宋"/>
          <w:color w:val="000000" w:themeColor="text1"/>
          <w:sz w:val="44"/>
          <w:szCs w:val="44"/>
          <w14:textFill>
            <w14:solidFill>
              <w14:schemeClr w14:val="tx1"/>
            </w14:solidFill>
          </w14:textFill>
        </w:rPr>
      </w:pPr>
      <w:r>
        <w:rPr>
          <w:rFonts w:hint="eastAsia" w:ascii="彩虹粗仿宋" w:hAnsi="彩虹粗仿宋" w:eastAsia="彩虹粗仿宋" w:cs="彩虹粗仿宋"/>
          <w:color w:val="000000" w:themeColor="text1"/>
          <w:sz w:val="44"/>
          <w:szCs w:val="44"/>
          <w14:textFill>
            <w14:solidFill>
              <w14:schemeClr w14:val="tx1"/>
            </w14:solidFill>
          </w14:textFill>
        </w:rPr>
        <w:t>梧州高级中学校园一卡通项目采购需求</w:t>
      </w:r>
    </w:p>
    <w:p w14:paraId="2614C87E">
      <w:pPr>
        <w:rPr>
          <w:color w:val="000000" w:themeColor="text1"/>
          <w14:textFill>
            <w14:solidFill>
              <w14:schemeClr w14:val="tx1"/>
            </w14:solidFill>
          </w14:textFill>
        </w:rPr>
      </w:pPr>
    </w:p>
    <w:p w14:paraId="62F5ECC2">
      <w:pPr>
        <w:rPr>
          <w:color w:val="000000" w:themeColor="text1"/>
          <w14:textFill>
            <w14:solidFill>
              <w14:schemeClr w14:val="tx1"/>
            </w14:solidFill>
          </w14:textFill>
        </w:rPr>
      </w:pPr>
    </w:p>
    <w:p w14:paraId="4ACDF9FA">
      <w:pPr>
        <w:ind w:firstLine="421" w:firstLineChars="131"/>
        <w:rPr>
          <w:rFonts w:ascii="彩虹粗仿宋" w:hAnsi="彩虹粗仿宋" w:eastAsia="彩虹粗仿宋" w:cs="彩虹粗仿宋"/>
          <w:color w:val="000000" w:themeColor="text1"/>
          <w:sz w:val="28"/>
          <w:szCs w:val="28"/>
          <w14:textFill>
            <w14:solidFill>
              <w14:schemeClr w14:val="tx1"/>
            </w14:solidFill>
          </w14:textFill>
        </w:rPr>
      </w:pPr>
      <w:r>
        <w:rPr>
          <w:rFonts w:hint="eastAsia" w:ascii="Arial" w:hAnsi="Arial" w:eastAsia="黑体"/>
          <w:b/>
          <w:color w:val="000000" w:themeColor="text1"/>
          <w:sz w:val="32"/>
          <w14:textFill>
            <w14:solidFill>
              <w14:schemeClr w14:val="tx1"/>
            </w14:solidFill>
          </w14:textFill>
        </w:rPr>
        <w:t>一、采购内容</w:t>
      </w:r>
    </w:p>
    <w:p w14:paraId="4A01549C">
      <w:pPr>
        <w:ind w:firstLine="560"/>
        <w:rPr>
          <w:rFonts w:ascii="彩虹粗仿宋" w:hAnsi="彩虹粗仿宋" w:eastAsia="彩虹粗仿宋" w:cs="彩虹粗仿宋"/>
          <w:color w:val="000000" w:themeColor="text1"/>
          <w:sz w:val="28"/>
          <w:szCs w:val="28"/>
          <w14:textFill>
            <w14:solidFill>
              <w14:schemeClr w14:val="tx1"/>
            </w14:solidFill>
          </w14:textFill>
        </w:rPr>
      </w:pPr>
      <w:r>
        <w:rPr>
          <w:rFonts w:hint="eastAsia" w:ascii="彩虹粗仿宋" w:hAnsi="彩虹粗仿宋" w:eastAsia="彩虹粗仿宋" w:cs="彩虹粗仿宋"/>
          <w:color w:val="000000" w:themeColor="text1"/>
          <w:sz w:val="28"/>
          <w:szCs w:val="28"/>
          <w14:textFill>
            <w14:solidFill>
              <w14:schemeClr w14:val="tx1"/>
            </w14:solidFill>
          </w14:textFill>
        </w:rPr>
        <w:t>梧州高级中学校园一卡通项目，合同期限8年，详细采购内容如下：</w:t>
      </w:r>
    </w:p>
    <w:tbl>
      <w:tblPr>
        <w:tblStyle w:val="8"/>
        <w:tblW w:w="4998" w:type="pct"/>
        <w:tblInd w:w="0" w:type="dxa"/>
        <w:tblLayout w:type="autofit"/>
        <w:tblCellMar>
          <w:top w:w="0" w:type="dxa"/>
          <w:left w:w="108" w:type="dxa"/>
          <w:bottom w:w="0" w:type="dxa"/>
          <w:right w:w="108" w:type="dxa"/>
        </w:tblCellMar>
      </w:tblPr>
      <w:tblGrid>
        <w:gridCol w:w="1103"/>
        <w:gridCol w:w="1103"/>
        <w:gridCol w:w="3003"/>
        <w:gridCol w:w="946"/>
        <w:gridCol w:w="1132"/>
        <w:gridCol w:w="1232"/>
      </w:tblGrid>
      <w:tr w14:paraId="0F4B56E9">
        <w:tblPrEx>
          <w:tblCellMar>
            <w:top w:w="0" w:type="dxa"/>
            <w:left w:w="108" w:type="dxa"/>
            <w:bottom w:w="0" w:type="dxa"/>
            <w:right w:w="108" w:type="dxa"/>
          </w:tblCellMar>
        </w:tblPrEx>
        <w:trPr>
          <w:trHeight w:val="570" w:hRule="atLeast"/>
        </w:trPr>
        <w:tc>
          <w:tcPr>
            <w:tcW w:w="647" w:type="pct"/>
            <w:tcBorders>
              <w:top w:val="single" w:color="000000" w:sz="4" w:space="0"/>
              <w:left w:val="single" w:color="000000" w:sz="4" w:space="0"/>
              <w:bottom w:val="single" w:color="000000" w:sz="4" w:space="0"/>
              <w:right w:val="single" w:color="000000" w:sz="4" w:space="0"/>
            </w:tcBorders>
            <w:vAlign w:val="center"/>
          </w:tcPr>
          <w:p w14:paraId="71B4D1C7">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序号</w:t>
            </w:r>
          </w:p>
        </w:tc>
        <w:tc>
          <w:tcPr>
            <w:tcW w:w="647" w:type="pct"/>
            <w:tcBorders>
              <w:top w:val="single" w:color="000000" w:sz="4" w:space="0"/>
              <w:left w:val="single" w:color="000000" w:sz="4" w:space="0"/>
              <w:bottom w:val="single" w:color="000000" w:sz="4" w:space="0"/>
              <w:right w:val="single" w:color="000000" w:sz="4" w:space="0"/>
            </w:tcBorders>
            <w:vAlign w:val="center"/>
          </w:tcPr>
          <w:p w14:paraId="0DC66477">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类型</w:t>
            </w:r>
          </w:p>
        </w:tc>
        <w:tc>
          <w:tcPr>
            <w:tcW w:w="1762" w:type="pct"/>
            <w:tcBorders>
              <w:top w:val="single" w:color="000000" w:sz="4" w:space="0"/>
              <w:left w:val="single" w:color="000000" w:sz="4" w:space="0"/>
              <w:bottom w:val="single" w:color="000000" w:sz="4" w:space="0"/>
              <w:right w:val="single" w:color="000000" w:sz="4" w:space="0"/>
            </w:tcBorders>
            <w:vAlign w:val="center"/>
          </w:tcPr>
          <w:p w14:paraId="4E4007B6">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名称</w:t>
            </w:r>
          </w:p>
        </w:tc>
        <w:tc>
          <w:tcPr>
            <w:tcW w:w="555" w:type="pct"/>
            <w:tcBorders>
              <w:top w:val="single" w:color="000000" w:sz="4" w:space="0"/>
              <w:left w:val="single" w:color="000000" w:sz="4" w:space="0"/>
              <w:bottom w:val="single" w:color="000000" w:sz="4" w:space="0"/>
              <w:right w:val="single" w:color="000000" w:sz="4" w:space="0"/>
            </w:tcBorders>
            <w:vAlign w:val="center"/>
          </w:tcPr>
          <w:p w14:paraId="79DEFDD0">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数量</w:t>
            </w:r>
          </w:p>
        </w:tc>
        <w:tc>
          <w:tcPr>
            <w:tcW w:w="664" w:type="pct"/>
            <w:tcBorders>
              <w:top w:val="single" w:color="000000" w:sz="4" w:space="0"/>
              <w:left w:val="single" w:color="000000" w:sz="4" w:space="0"/>
              <w:bottom w:val="single" w:color="000000" w:sz="4" w:space="0"/>
              <w:right w:val="single" w:color="000000" w:sz="4" w:space="0"/>
            </w:tcBorders>
            <w:vAlign w:val="center"/>
          </w:tcPr>
          <w:p w14:paraId="215FCAA1">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单位</w:t>
            </w:r>
          </w:p>
        </w:tc>
        <w:tc>
          <w:tcPr>
            <w:tcW w:w="723" w:type="pct"/>
            <w:tcBorders>
              <w:top w:val="single" w:color="000000" w:sz="4" w:space="0"/>
              <w:left w:val="single" w:color="000000" w:sz="4" w:space="0"/>
              <w:bottom w:val="single" w:color="000000" w:sz="4" w:space="0"/>
              <w:right w:val="single" w:color="000000" w:sz="4" w:space="0"/>
            </w:tcBorders>
            <w:vAlign w:val="center"/>
          </w:tcPr>
          <w:p w14:paraId="7A1C2FB6">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免费维保年限</w:t>
            </w:r>
          </w:p>
        </w:tc>
      </w:tr>
      <w:tr w14:paraId="44C56C10">
        <w:tblPrEx>
          <w:tblCellMar>
            <w:top w:w="0" w:type="dxa"/>
            <w:left w:w="108" w:type="dxa"/>
            <w:bottom w:w="0" w:type="dxa"/>
            <w:right w:w="108" w:type="dxa"/>
          </w:tblCellMar>
        </w:tblPrEx>
        <w:trPr>
          <w:trHeight w:val="312" w:hRule="atLeast"/>
        </w:trPr>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1724A786">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1</w:t>
            </w:r>
          </w:p>
        </w:tc>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1F1052B8">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vMerge w:val="restart"/>
            <w:tcBorders>
              <w:top w:val="single" w:color="000000" w:sz="4" w:space="0"/>
              <w:left w:val="single" w:color="000000" w:sz="4" w:space="0"/>
              <w:bottom w:val="single" w:color="000000" w:sz="4" w:space="0"/>
              <w:right w:val="single" w:color="000000" w:sz="4" w:space="0"/>
            </w:tcBorders>
            <w:noWrap/>
            <w:vAlign w:val="center"/>
          </w:tcPr>
          <w:p w14:paraId="76399061">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饭堂消费刷卡机（60终端）</w:t>
            </w:r>
          </w:p>
        </w:tc>
        <w:tc>
          <w:tcPr>
            <w:tcW w:w="555" w:type="pct"/>
            <w:vMerge w:val="restart"/>
            <w:tcBorders>
              <w:top w:val="single" w:color="000000" w:sz="4" w:space="0"/>
              <w:left w:val="single" w:color="000000" w:sz="4" w:space="0"/>
              <w:bottom w:val="single" w:color="000000" w:sz="4" w:space="0"/>
              <w:right w:val="single" w:color="000000" w:sz="4" w:space="0"/>
            </w:tcBorders>
            <w:noWrap/>
            <w:vAlign w:val="center"/>
          </w:tcPr>
          <w:p w14:paraId="11522BFA">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1</w:t>
            </w:r>
          </w:p>
        </w:tc>
        <w:tc>
          <w:tcPr>
            <w:tcW w:w="1132" w:type="dxa"/>
            <w:vMerge w:val="restart"/>
            <w:tcBorders>
              <w:top w:val="single" w:color="000000" w:sz="4" w:space="0"/>
              <w:left w:val="single" w:color="000000" w:sz="4" w:space="0"/>
              <w:bottom w:val="single" w:color="000000" w:sz="4" w:space="0"/>
              <w:right w:val="single" w:color="000000" w:sz="4" w:space="0"/>
            </w:tcBorders>
            <w:noWrap/>
            <w:vAlign w:val="center"/>
          </w:tcPr>
          <w:p w14:paraId="0EC8FA04">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套</w:t>
            </w:r>
          </w:p>
        </w:tc>
        <w:tc>
          <w:tcPr>
            <w:tcW w:w="1232" w:type="dxa"/>
            <w:vMerge w:val="restart"/>
            <w:tcBorders>
              <w:top w:val="single" w:color="000000" w:sz="4" w:space="0"/>
              <w:left w:val="single" w:color="000000" w:sz="4" w:space="0"/>
              <w:bottom w:val="single" w:color="000000" w:sz="4" w:space="0"/>
              <w:right w:val="single" w:color="000000" w:sz="4" w:space="0"/>
            </w:tcBorders>
            <w:noWrap/>
            <w:vAlign w:val="center"/>
          </w:tcPr>
          <w:p w14:paraId="06F72EDF">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1年</w:t>
            </w:r>
          </w:p>
        </w:tc>
      </w:tr>
      <w:tr w14:paraId="1702C5BA">
        <w:tblPrEx>
          <w:tblCellMar>
            <w:top w:w="0" w:type="dxa"/>
            <w:left w:w="108" w:type="dxa"/>
            <w:bottom w:w="0" w:type="dxa"/>
            <w:right w:w="108" w:type="dxa"/>
          </w:tblCellMar>
        </w:tblPrEx>
        <w:trPr>
          <w:trHeight w:val="312" w:hRule="atLeast"/>
        </w:trPr>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5AE7B471">
            <w:pPr>
              <w:jc w:val="center"/>
              <w:rPr>
                <w:rFonts w:ascii="彩虹粗仿宋" w:hAnsi="彩虹粗仿宋" w:eastAsia="彩虹粗仿宋" w:cs="彩虹粗仿宋"/>
                <w:color w:val="000000" w:themeColor="text1"/>
                <w:szCs w:val="21"/>
                <w14:textFill>
                  <w14:solidFill>
                    <w14:schemeClr w14:val="tx1"/>
                  </w14:solidFill>
                </w14:textFill>
              </w:rPr>
            </w:pPr>
          </w:p>
        </w:tc>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190E54A2">
            <w:pPr>
              <w:jc w:val="center"/>
              <w:rPr>
                <w:rFonts w:ascii="彩虹粗仿宋" w:hAnsi="彩虹粗仿宋" w:eastAsia="彩虹粗仿宋" w:cs="彩虹粗仿宋"/>
                <w:color w:val="000000" w:themeColor="text1"/>
                <w:szCs w:val="21"/>
                <w14:textFill>
                  <w14:solidFill>
                    <w14:schemeClr w14:val="tx1"/>
                  </w14:solidFill>
                </w14:textFill>
              </w:rPr>
            </w:pPr>
          </w:p>
        </w:tc>
        <w:tc>
          <w:tcPr>
            <w:tcW w:w="1762" w:type="pct"/>
            <w:vMerge w:val="continue"/>
            <w:tcBorders>
              <w:top w:val="single" w:color="000000" w:sz="4" w:space="0"/>
              <w:left w:val="single" w:color="000000" w:sz="4" w:space="0"/>
              <w:bottom w:val="single" w:color="000000" w:sz="4" w:space="0"/>
              <w:right w:val="single" w:color="000000" w:sz="4" w:space="0"/>
            </w:tcBorders>
            <w:noWrap/>
            <w:vAlign w:val="center"/>
          </w:tcPr>
          <w:p w14:paraId="535DAC04">
            <w:pPr>
              <w:jc w:val="center"/>
              <w:rPr>
                <w:rFonts w:ascii="彩虹粗仿宋" w:hAnsi="彩虹粗仿宋" w:eastAsia="彩虹粗仿宋" w:cs="彩虹粗仿宋"/>
                <w:color w:val="000000" w:themeColor="text1"/>
                <w:szCs w:val="21"/>
                <w14:textFill>
                  <w14:solidFill>
                    <w14:schemeClr w14:val="tx1"/>
                  </w14:solidFill>
                </w14:textFill>
              </w:rPr>
            </w:pPr>
          </w:p>
        </w:tc>
        <w:tc>
          <w:tcPr>
            <w:tcW w:w="555" w:type="pct"/>
            <w:vMerge w:val="continue"/>
            <w:tcBorders>
              <w:top w:val="single" w:color="000000" w:sz="4" w:space="0"/>
              <w:left w:val="single" w:color="000000" w:sz="4" w:space="0"/>
              <w:bottom w:val="single" w:color="000000" w:sz="4" w:space="0"/>
              <w:right w:val="single" w:color="000000" w:sz="4" w:space="0"/>
            </w:tcBorders>
            <w:noWrap/>
            <w:vAlign w:val="center"/>
          </w:tcPr>
          <w:p w14:paraId="16462555">
            <w:pPr>
              <w:jc w:val="center"/>
              <w:rPr>
                <w:rFonts w:ascii="彩虹粗仿宋" w:hAnsi="彩虹粗仿宋" w:eastAsia="彩虹粗仿宋" w:cs="彩虹粗仿宋"/>
                <w:color w:val="000000" w:themeColor="text1"/>
                <w:szCs w:val="21"/>
                <w14:textFill>
                  <w14:solidFill>
                    <w14:schemeClr w14:val="tx1"/>
                  </w14:solidFill>
                </w14:textFill>
              </w:rPr>
            </w:pPr>
          </w:p>
        </w:tc>
        <w:tc>
          <w:tcPr>
            <w:tcW w:w="664" w:type="pct"/>
            <w:vMerge w:val="continue"/>
            <w:tcBorders>
              <w:top w:val="single" w:color="000000" w:sz="4" w:space="0"/>
              <w:left w:val="single" w:color="000000" w:sz="4" w:space="0"/>
              <w:bottom w:val="single" w:color="000000" w:sz="4" w:space="0"/>
              <w:right w:val="single" w:color="000000" w:sz="4" w:space="0"/>
            </w:tcBorders>
            <w:noWrap/>
            <w:vAlign w:val="center"/>
          </w:tcPr>
          <w:p w14:paraId="41914F32">
            <w:pPr>
              <w:jc w:val="center"/>
              <w:rPr>
                <w:rFonts w:ascii="宋体" w:hAnsi="宋体" w:eastAsia="宋体" w:cs="宋体"/>
                <w:color w:val="000000" w:themeColor="text1"/>
                <w:szCs w:val="21"/>
                <w14:textFill>
                  <w14:solidFill>
                    <w14:schemeClr w14:val="tx1"/>
                  </w14:solidFill>
                </w14:textFill>
              </w:rPr>
            </w:pPr>
          </w:p>
        </w:tc>
        <w:tc>
          <w:tcPr>
            <w:tcW w:w="723" w:type="pct"/>
            <w:vMerge w:val="continue"/>
            <w:tcBorders>
              <w:top w:val="single" w:color="000000" w:sz="4" w:space="0"/>
              <w:left w:val="single" w:color="000000" w:sz="4" w:space="0"/>
              <w:bottom w:val="single" w:color="000000" w:sz="4" w:space="0"/>
              <w:right w:val="single" w:color="000000" w:sz="4" w:space="0"/>
            </w:tcBorders>
            <w:noWrap/>
            <w:vAlign w:val="center"/>
          </w:tcPr>
          <w:p w14:paraId="21DC783E">
            <w:pPr>
              <w:jc w:val="center"/>
              <w:rPr>
                <w:rFonts w:ascii="彩虹粗仿宋" w:hAnsi="彩虹粗仿宋" w:eastAsia="彩虹粗仿宋" w:cs="彩虹粗仿宋"/>
                <w:color w:val="000000" w:themeColor="text1"/>
                <w:szCs w:val="21"/>
                <w14:textFill>
                  <w14:solidFill>
                    <w14:schemeClr w14:val="tx1"/>
                  </w14:solidFill>
                </w14:textFill>
              </w:rPr>
            </w:pPr>
          </w:p>
        </w:tc>
      </w:tr>
      <w:tr w14:paraId="6E0C72B6">
        <w:tblPrEx>
          <w:tblCellMar>
            <w:top w:w="0" w:type="dxa"/>
            <w:left w:w="108" w:type="dxa"/>
            <w:bottom w:w="0" w:type="dxa"/>
            <w:right w:w="108" w:type="dxa"/>
          </w:tblCellMar>
        </w:tblPrEx>
        <w:trPr>
          <w:trHeight w:val="312" w:hRule="atLeast"/>
        </w:trPr>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1F4EFC55">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2</w:t>
            </w:r>
          </w:p>
        </w:tc>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618071A0">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vMerge w:val="restart"/>
            <w:tcBorders>
              <w:top w:val="single" w:color="000000" w:sz="4" w:space="0"/>
              <w:left w:val="single" w:color="000000" w:sz="4" w:space="0"/>
              <w:bottom w:val="single" w:color="000000" w:sz="4" w:space="0"/>
              <w:right w:val="single" w:color="000000" w:sz="4" w:space="0"/>
            </w:tcBorders>
            <w:vAlign w:val="center"/>
          </w:tcPr>
          <w:p w14:paraId="20A59CD1">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服务器</w:t>
            </w:r>
          </w:p>
        </w:tc>
        <w:tc>
          <w:tcPr>
            <w:tcW w:w="555" w:type="pct"/>
            <w:vMerge w:val="restart"/>
            <w:tcBorders>
              <w:top w:val="single" w:color="000000" w:sz="4" w:space="0"/>
              <w:left w:val="single" w:color="000000" w:sz="4" w:space="0"/>
              <w:bottom w:val="single" w:color="000000" w:sz="4" w:space="0"/>
              <w:right w:val="single" w:color="000000" w:sz="4" w:space="0"/>
            </w:tcBorders>
            <w:noWrap/>
            <w:vAlign w:val="center"/>
          </w:tcPr>
          <w:p w14:paraId="2130700C">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1</w:t>
            </w:r>
          </w:p>
        </w:tc>
        <w:tc>
          <w:tcPr>
            <w:tcW w:w="1132" w:type="dxa"/>
            <w:vMerge w:val="restart"/>
            <w:tcBorders>
              <w:top w:val="single" w:color="000000" w:sz="4" w:space="0"/>
              <w:left w:val="single" w:color="000000" w:sz="4" w:space="0"/>
              <w:bottom w:val="single" w:color="000000" w:sz="4" w:space="0"/>
              <w:right w:val="single" w:color="000000" w:sz="4" w:space="0"/>
            </w:tcBorders>
            <w:noWrap/>
            <w:vAlign w:val="center"/>
          </w:tcPr>
          <w:p w14:paraId="6F704C75">
            <w:pPr>
              <w:widowControl/>
              <w:jc w:val="center"/>
              <w:textAlignment w:val="bottom"/>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台</w:t>
            </w:r>
          </w:p>
        </w:tc>
        <w:tc>
          <w:tcPr>
            <w:tcW w:w="1232" w:type="dxa"/>
            <w:vMerge w:val="restart"/>
            <w:tcBorders>
              <w:top w:val="single" w:color="000000" w:sz="4" w:space="0"/>
              <w:left w:val="single" w:color="000000" w:sz="4" w:space="0"/>
              <w:bottom w:val="single" w:color="000000" w:sz="4" w:space="0"/>
              <w:right w:val="single" w:color="000000" w:sz="4" w:space="0"/>
            </w:tcBorders>
            <w:noWrap/>
            <w:vAlign w:val="center"/>
          </w:tcPr>
          <w:p w14:paraId="2CBECD0E">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1年</w:t>
            </w:r>
          </w:p>
        </w:tc>
      </w:tr>
      <w:tr w14:paraId="3722CB42">
        <w:tblPrEx>
          <w:tblCellMar>
            <w:top w:w="0" w:type="dxa"/>
            <w:left w:w="108" w:type="dxa"/>
            <w:bottom w:w="0" w:type="dxa"/>
            <w:right w:w="108" w:type="dxa"/>
          </w:tblCellMar>
        </w:tblPrEx>
        <w:trPr>
          <w:trHeight w:val="312" w:hRule="atLeast"/>
        </w:trPr>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49918F93">
            <w:pPr>
              <w:jc w:val="center"/>
              <w:rPr>
                <w:rFonts w:ascii="彩虹粗仿宋" w:hAnsi="彩虹粗仿宋" w:eastAsia="彩虹粗仿宋" w:cs="彩虹粗仿宋"/>
                <w:color w:val="000000" w:themeColor="text1"/>
                <w:szCs w:val="21"/>
                <w14:textFill>
                  <w14:solidFill>
                    <w14:schemeClr w14:val="tx1"/>
                  </w14:solidFill>
                </w14:textFill>
              </w:rPr>
            </w:pPr>
          </w:p>
        </w:tc>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1DE0A261">
            <w:pPr>
              <w:jc w:val="center"/>
              <w:rPr>
                <w:rFonts w:ascii="彩虹粗仿宋" w:hAnsi="彩虹粗仿宋" w:eastAsia="彩虹粗仿宋" w:cs="彩虹粗仿宋"/>
                <w:color w:val="000000" w:themeColor="text1"/>
                <w:szCs w:val="21"/>
                <w14:textFill>
                  <w14:solidFill>
                    <w14:schemeClr w14:val="tx1"/>
                  </w14:solidFill>
                </w14:textFill>
              </w:rPr>
            </w:pPr>
          </w:p>
        </w:tc>
        <w:tc>
          <w:tcPr>
            <w:tcW w:w="1762" w:type="pct"/>
            <w:vMerge w:val="continue"/>
            <w:tcBorders>
              <w:top w:val="single" w:color="000000" w:sz="4" w:space="0"/>
              <w:left w:val="single" w:color="000000" w:sz="4" w:space="0"/>
              <w:bottom w:val="single" w:color="000000" w:sz="4" w:space="0"/>
              <w:right w:val="single" w:color="000000" w:sz="4" w:space="0"/>
            </w:tcBorders>
            <w:vAlign w:val="center"/>
          </w:tcPr>
          <w:p w14:paraId="56B33265">
            <w:pPr>
              <w:jc w:val="center"/>
              <w:rPr>
                <w:rFonts w:ascii="彩虹粗仿宋" w:hAnsi="彩虹粗仿宋" w:eastAsia="彩虹粗仿宋" w:cs="彩虹粗仿宋"/>
                <w:color w:val="000000" w:themeColor="text1"/>
                <w:szCs w:val="21"/>
                <w14:textFill>
                  <w14:solidFill>
                    <w14:schemeClr w14:val="tx1"/>
                  </w14:solidFill>
                </w14:textFill>
              </w:rPr>
            </w:pPr>
          </w:p>
        </w:tc>
        <w:tc>
          <w:tcPr>
            <w:tcW w:w="555" w:type="pct"/>
            <w:vMerge w:val="continue"/>
            <w:tcBorders>
              <w:top w:val="single" w:color="000000" w:sz="4" w:space="0"/>
              <w:left w:val="single" w:color="000000" w:sz="4" w:space="0"/>
              <w:bottom w:val="single" w:color="000000" w:sz="4" w:space="0"/>
              <w:right w:val="single" w:color="000000" w:sz="4" w:space="0"/>
            </w:tcBorders>
            <w:noWrap/>
            <w:vAlign w:val="center"/>
          </w:tcPr>
          <w:p w14:paraId="51879AC5">
            <w:pPr>
              <w:jc w:val="center"/>
              <w:rPr>
                <w:rFonts w:ascii="彩虹粗仿宋" w:hAnsi="彩虹粗仿宋" w:eastAsia="彩虹粗仿宋" w:cs="彩虹粗仿宋"/>
                <w:color w:val="000000" w:themeColor="text1"/>
                <w:szCs w:val="21"/>
                <w14:textFill>
                  <w14:solidFill>
                    <w14:schemeClr w14:val="tx1"/>
                  </w14:solidFill>
                </w14:textFill>
              </w:rPr>
            </w:pPr>
          </w:p>
        </w:tc>
        <w:tc>
          <w:tcPr>
            <w:tcW w:w="664" w:type="pct"/>
            <w:vMerge w:val="continue"/>
            <w:tcBorders>
              <w:top w:val="single" w:color="000000" w:sz="4" w:space="0"/>
              <w:left w:val="single" w:color="000000" w:sz="4" w:space="0"/>
              <w:bottom w:val="single" w:color="000000" w:sz="4" w:space="0"/>
              <w:right w:val="single" w:color="000000" w:sz="4" w:space="0"/>
            </w:tcBorders>
            <w:noWrap/>
            <w:vAlign w:val="center"/>
          </w:tcPr>
          <w:p w14:paraId="18741C59">
            <w:pPr>
              <w:jc w:val="center"/>
              <w:rPr>
                <w:rFonts w:ascii="宋体" w:hAnsi="宋体" w:eastAsia="宋体" w:cs="宋体"/>
                <w:color w:val="000000" w:themeColor="text1"/>
                <w:szCs w:val="21"/>
                <w14:textFill>
                  <w14:solidFill>
                    <w14:schemeClr w14:val="tx1"/>
                  </w14:solidFill>
                </w14:textFill>
              </w:rPr>
            </w:pPr>
          </w:p>
        </w:tc>
        <w:tc>
          <w:tcPr>
            <w:tcW w:w="723" w:type="pct"/>
            <w:vMerge w:val="continue"/>
            <w:tcBorders>
              <w:top w:val="single" w:color="000000" w:sz="4" w:space="0"/>
              <w:left w:val="single" w:color="000000" w:sz="4" w:space="0"/>
              <w:bottom w:val="single" w:color="000000" w:sz="4" w:space="0"/>
              <w:right w:val="single" w:color="000000" w:sz="4" w:space="0"/>
            </w:tcBorders>
            <w:noWrap/>
            <w:vAlign w:val="center"/>
          </w:tcPr>
          <w:p w14:paraId="599F2963">
            <w:pPr>
              <w:jc w:val="center"/>
              <w:rPr>
                <w:rFonts w:ascii="彩虹粗仿宋" w:hAnsi="彩虹粗仿宋" w:eastAsia="彩虹粗仿宋" w:cs="彩虹粗仿宋"/>
                <w:color w:val="000000" w:themeColor="text1"/>
                <w:szCs w:val="21"/>
                <w14:textFill>
                  <w14:solidFill>
                    <w14:schemeClr w14:val="tx1"/>
                  </w14:solidFill>
                </w14:textFill>
              </w:rPr>
            </w:pPr>
          </w:p>
        </w:tc>
      </w:tr>
      <w:tr w14:paraId="0B89971E">
        <w:tblPrEx>
          <w:tblCellMar>
            <w:top w:w="0" w:type="dxa"/>
            <w:left w:w="108" w:type="dxa"/>
            <w:bottom w:w="0" w:type="dxa"/>
            <w:right w:w="108" w:type="dxa"/>
          </w:tblCellMar>
        </w:tblPrEx>
        <w:trPr>
          <w:trHeight w:val="312" w:hRule="atLeast"/>
        </w:trPr>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4D80B029">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3</w:t>
            </w:r>
          </w:p>
        </w:tc>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5355B164">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vMerge w:val="restart"/>
            <w:tcBorders>
              <w:top w:val="single" w:color="000000" w:sz="4" w:space="0"/>
              <w:left w:val="single" w:color="000000" w:sz="4" w:space="0"/>
              <w:bottom w:val="single" w:color="000000" w:sz="4" w:space="0"/>
              <w:right w:val="single" w:color="000000" w:sz="4" w:space="0"/>
            </w:tcBorders>
            <w:vAlign w:val="center"/>
          </w:tcPr>
          <w:p w14:paraId="5DEE70B6">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网络交接机</w:t>
            </w:r>
          </w:p>
        </w:tc>
        <w:tc>
          <w:tcPr>
            <w:tcW w:w="555" w:type="pct"/>
            <w:vMerge w:val="restart"/>
            <w:tcBorders>
              <w:top w:val="single" w:color="000000" w:sz="4" w:space="0"/>
              <w:left w:val="single" w:color="000000" w:sz="4" w:space="0"/>
              <w:bottom w:val="single" w:color="000000" w:sz="4" w:space="0"/>
              <w:right w:val="single" w:color="000000" w:sz="4" w:space="0"/>
            </w:tcBorders>
            <w:noWrap/>
            <w:vAlign w:val="center"/>
          </w:tcPr>
          <w:p w14:paraId="0C9C0148">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szCs w:val="21"/>
                <w14:textFill>
                  <w14:solidFill>
                    <w14:schemeClr w14:val="tx1"/>
                  </w14:solidFill>
                </w14:textFill>
              </w:rPr>
              <w:t>2</w:t>
            </w:r>
          </w:p>
        </w:tc>
        <w:tc>
          <w:tcPr>
            <w:tcW w:w="1132" w:type="dxa"/>
            <w:vMerge w:val="restart"/>
            <w:tcBorders>
              <w:top w:val="single" w:color="000000" w:sz="4" w:space="0"/>
              <w:left w:val="single" w:color="000000" w:sz="4" w:space="0"/>
              <w:bottom w:val="single" w:color="000000" w:sz="4" w:space="0"/>
              <w:right w:val="single" w:color="000000" w:sz="4" w:space="0"/>
            </w:tcBorders>
            <w:noWrap/>
            <w:vAlign w:val="center"/>
          </w:tcPr>
          <w:p w14:paraId="75F9F3AC">
            <w:pPr>
              <w:widowControl/>
              <w:jc w:val="center"/>
              <w:textAlignment w:val="bottom"/>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台</w:t>
            </w:r>
          </w:p>
        </w:tc>
        <w:tc>
          <w:tcPr>
            <w:tcW w:w="1232" w:type="dxa"/>
            <w:vMerge w:val="restart"/>
            <w:tcBorders>
              <w:top w:val="single" w:color="000000" w:sz="4" w:space="0"/>
              <w:left w:val="single" w:color="000000" w:sz="4" w:space="0"/>
              <w:bottom w:val="single" w:color="000000" w:sz="4" w:space="0"/>
              <w:right w:val="single" w:color="000000" w:sz="4" w:space="0"/>
            </w:tcBorders>
            <w:noWrap/>
            <w:vAlign w:val="center"/>
          </w:tcPr>
          <w:p w14:paraId="7E1E1D45">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1年</w:t>
            </w:r>
          </w:p>
        </w:tc>
      </w:tr>
      <w:tr w14:paraId="01CC4370">
        <w:tblPrEx>
          <w:tblCellMar>
            <w:top w:w="0" w:type="dxa"/>
            <w:left w:w="108" w:type="dxa"/>
            <w:bottom w:w="0" w:type="dxa"/>
            <w:right w:w="108" w:type="dxa"/>
          </w:tblCellMar>
        </w:tblPrEx>
        <w:trPr>
          <w:trHeight w:val="312" w:hRule="atLeast"/>
        </w:trPr>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6457372E">
            <w:pPr>
              <w:jc w:val="center"/>
              <w:rPr>
                <w:rFonts w:ascii="彩虹粗仿宋" w:hAnsi="彩虹粗仿宋" w:eastAsia="彩虹粗仿宋" w:cs="彩虹粗仿宋"/>
                <w:color w:val="000000" w:themeColor="text1"/>
                <w:szCs w:val="21"/>
                <w14:textFill>
                  <w14:solidFill>
                    <w14:schemeClr w14:val="tx1"/>
                  </w14:solidFill>
                </w14:textFill>
              </w:rPr>
            </w:pPr>
          </w:p>
        </w:tc>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1FFA7656">
            <w:pPr>
              <w:jc w:val="center"/>
              <w:rPr>
                <w:rFonts w:ascii="彩虹粗仿宋" w:hAnsi="彩虹粗仿宋" w:eastAsia="彩虹粗仿宋" w:cs="彩虹粗仿宋"/>
                <w:color w:val="000000" w:themeColor="text1"/>
                <w:szCs w:val="21"/>
                <w14:textFill>
                  <w14:solidFill>
                    <w14:schemeClr w14:val="tx1"/>
                  </w14:solidFill>
                </w14:textFill>
              </w:rPr>
            </w:pPr>
          </w:p>
        </w:tc>
        <w:tc>
          <w:tcPr>
            <w:tcW w:w="1762" w:type="pct"/>
            <w:vMerge w:val="continue"/>
            <w:tcBorders>
              <w:top w:val="single" w:color="000000" w:sz="4" w:space="0"/>
              <w:left w:val="single" w:color="000000" w:sz="4" w:space="0"/>
              <w:bottom w:val="single" w:color="000000" w:sz="4" w:space="0"/>
              <w:right w:val="single" w:color="000000" w:sz="4" w:space="0"/>
            </w:tcBorders>
            <w:vAlign w:val="center"/>
          </w:tcPr>
          <w:p w14:paraId="421825FE">
            <w:pPr>
              <w:jc w:val="center"/>
              <w:rPr>
                <w:rFonts w:ascii="彩虹粗仿宋" w:hAnsi="彩虹粗仿宋" w:eastAsia="彩虹粗仿宋" w:cs="彩虹粗仿宋"/>
                <w:color w:val="000000" w:themeColor="text1"/>
                <w:szCs w:val="21"/>
                <w14:textFill>
                  <w14:solidFill>
                    <w14:schemeClr w14:val="tx1"/>
                  </w14:solidFill>
                </w14:textFill>
              </w:rPr>
            </w:pPr>
          </w:p>
        </w:tc>
        <w:tc>
          <w:tcPr>
            <w:tcW w:w="555" w:type="pct"/>
            <w:vMerge w:val="continue"/>
            <w:tcBorders>
              <w:top w:val="single" w:color="000000" w:sz="4" w:space="0"/>
              <w:left w:val="single" w:color="000000" w:sz="4" w:space="0"/>
              <w:bottom w:val="single" w:color="000000" w:sz="4" w:space="0"/>
              <w:right w:val="single" w:color="000000" w:sz="4" w:space="0"/>
            </w:tcBorders>
            <w:noWrap/>
            <w:vAlign w:val="center"/>
          </w:tcPr>
          <w:p w14:paraId="6C93F18A">
            <w:pPr>
              <w:jc w:val="center"/>
              <w:rPr>
                <w:rFonts w:ascii="彩虹粗仿宋" w:hAnsi="彩虹粗仿宋" w:eastAsia="彩虹粗仿宋" w:cs="彩虹粗仿宋"/>
                <w:color w:val="000000" w:themeColor="text1"/>
                <w:szCs w:val="21"/>
                <w14:textFill>
                  <w14:solidFill>
                    <w14:schemeClr w14:val="tx1"/>
                  </w14:solidFill>
                </w14:textFill>
              </w:rPr>
            </w:pPr>
          </w:p>
        </w:tc>
        <w:tc>
          <w:tcPr>
            <w:tcW w:w="664" w:type="pct"/>
            <w:vMerge w:val="continue"/>
            <w:tcBorders>
              <w:top w:val="single" w:color="000000" w:sz="4" w:space="0"/>
              <w:left w:val="single" w:color="000000" w:sz="4" w:space="0"/>
              <w:bottom w:val="single" w:color="000000" w:sz="4" w:space="0"/>
              <w:right w:val="single" w:color="000000" w:sz="4" w:space="0"/>
            </w:tcBorders>
            <w:noWrap/>
            <w:vAlign w:val="center"/>
          </w:tcPr>
          <w:p w14:paraId="36F6C9CE">
            <w:pPr>
              <w:jc w:val="center"/>
              <w:rPr>
                <w:rFonts w:ascii="宋体" w:hAnsi="宋体" w:eastAsia="宋体" w:cs="宋体"/>
                <w:color w:val="000000" w:themeColor="text1"/>
                <w:szCs w:val="21"/>
                <w14:textFill>
                  <w14:solidFill>
                    <w14:schemeClr w14:val="tx1"/>
                  </w14:solidFill>
                </w14:textFill>
              </w:rPr>
            </w:pPr>
          </w:p>
        </w:tc>
        <w:tc>
          <w:tcPr>
            <w:tcW w:w="723" w:type="pct"/>
            <w:vMerge w:val="continue"/>
            <w:tcBorders>
              <w:top w:val="single" w:color="000000" w:sz="4" w:space="0"/>
              <w:left w:val="single" w:color="000000" w:sz="4" w:space="0"/>
              <w:bottom w:val="single" w:color="000000" w:sz="4" w:space="0"/>
              <w:right w:val="single" w:color="000000" w:sz="4" w:space="0"/>
            </w:tcBorders>
            <w:noWrap/>
            <w:vAlign w:val="center"/>
          </w:tcPr>
          <w:p w14:paraId="134FA3D3">
            <w:pPr>
              <w:jc w:val="center"/>
              <w:rPr>
                <w:rFonts w:ascii="彩虹粗仿宋" w:hAnsi="彩虹粗仿宋" w:eastAsia="彩虹粗仿宋" w:cs="彩虹粗仿宋"/>
                <w:color w:val="000000" w:themeColor="text1"/>
                <w:szCs w:val="21"/>
                <w14:textFill>
                  <w14:solidFill>
                    <w14:schemeClr w14:val="tx1"/>
                  </w14:solidFill>
                </w14:textFill>
              </w:rPr>
            </w:pPr>
          </w:p>
        </w:tc>
      </w:tr>
      <w:tr w14:paraId="60AEE913">
        <w:tblPrEx>
          <w:tblCellMar>
            <w:top w:w="0" w:type="dxa"/>
            <w:left w:w="108" w:type="dxa"/>
            <w:bottom w:w="0" w:type="dxa"/>
            <w:right w:w="108" w:type="dxa"/>
          </w:tblCellMar>
        </w:tblPrEx>
        <w:trPr>
          <w:trHeight w:val="312" w:hRule="atLeast"/>
        </w:trPr>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0FEDBCB8">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4</w:t>
            </w:r>
          </w:p>
        </w:tc>
        <w:tc>
          <w:tcPr>
            <w:tcW w:w="1103" w:type="dxa"/>
            <w:vMerge w:val="restart"/>
            <w:tcBorders>
              <w:top w:val="single" w:color="000000" w:sz="4" w:space="0"/>
              <w:left w:val="single" w:color="000000" w:sz="4" w:space="0"/>
              <w:bottom w:val="single" w:color="000000" w:sz="4" w:space="0"/>
              <w:right w:val="single" w:color="000000" w:sz="4" w:space="0"/>
            </w:tcBorders>
            <w:noWrap/>
            <w:vAlign w:val="center"/>
          </w:tcPr>
          <w:p w14:paraId="02D50673">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vMerge w:val="restart"/>
            <w:tcBorders>
              <w:top w:val="single" w:color="000000" w:sz="4" w:space="0"/>
              <w:left w:val="single" w:color="000000" w:sz="4" w:space="0"/>
              <w:bottom w:val="single" w:color="000000" w:sz="4" w:space="0"/>
              <w:right w:val="single" w:color="000000" w:sz="4" w:space="0"/>
            </w:tcBorders>
            <w:vAlign w:val="center"/>
          </w:tcPr>
          <w:p w14:paraId="15814C24">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数据采集器</w:t>
            </w:r>
          </w:p>
        </w:tc>
        <w:tc>
          <w:tcPr>
            <w:tcW w:w="555" w:type="pct"/>
            <w:vMerge w:val="restart"/>
            <w:tcBorders>
              <w:top w:val="single" w:color="000000" w:sz="4" w:space="0"/>
              <w:left w:val="single" w:color="000000" w:sz="4" w:space="0"/>
              <w:bottom w:val="single" w:color="000000" w:sz="4" w:space="0"/>
              <w:right w:val="single" w:color="000000" w:sz="4" w:space="0"/>
            </w:tcBorders>
            <w:noWrap/>
            <w:vAlign w:val="center"/>
          </w:tcPr>
          <w:p w14:paraId="419A7742">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szCs w:val="21"/>
                <w14:textFill>
                  <w14:solidFill>
                    <w14:schemeClr w14:val="tx1"/>
                  </w14:solidFill>
                </w14:textFill>
              </w:rPr>
              <w:t>3</w:t>
            </w:r>
          </w:p>
        </w:tc>
        <w:tc>
          <w:tcPr>
            <w:tcW w:w="1132" w:type="dxa"/>
            <w:vMerge w:val="restart"/>
            <w:tcBorders>
              <w:top w:val="single" w:color="000000" w:sz="4" w:space="0"/>
              <w:left w:val="single" w:color="000000" w:sz="4" w:space="0"/>
              <w:bottom w:val="single" w:color="000000" w:sz="4" w:space="0"/>
              <w:right w:val="single" w:color="000000" w:sz="4" w:space="0"/>
            </w:tcBorders>
            <w:noWrap/>
            <w:vAlign w:val="center"/>
          </w:tcPr>
          <w:p w14:paraId="0846B45F">
            <w:pPr>
              <w:widowControl/>
              <w:jc w:val="center"/>
              <w:textAlignment w:val="bottom"/>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台</w:t>
            </w:r>
          </w:p>
        </w:tc>
        <w:tc>
          <w:tcPr>
            <w:tcW w:w="1232" w:type="dxa"/>
            <w:vMerge w:val="restart"/>
            <w:tcBorders>
              <w:top w:val="single" w:color="000000" w:sz="4" w:space="0"/>
              <w:left w:val="single" w:color="000000" w:sz="4" w:space="0"/>
              <w:bottom w:val="single" w:color="000000" w:sz="4" w:space="0"/>
              <w:right w:val="single" w:color="000000" w:sz="4" w:space="0"/>
            </w:tcBorders>
            <w:noWrap/>
            <w:vAlign w:val="center"/>
          </w:tcPr>
          <w:p w14:paraId="5F72F5A9">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1年</w:t>
            </w:r>
          </w:p>
        </w:tc>
      </w:tr>
      <w:tr w14:paraId="1D1066EE">
        <w:tblPrEx>
          <w:tblCellMar>
            <w:top w:w="0" w:type="dxa"/>
            <w:left w:w="108" w:type="dxa"/>
            <w:bottom w:w="0" w:type="dxa"/>
            <w:right w:w="108" w:type="dxa"/>
          </w:tblCellMar>
        </w:tblPrEx>
        <w:trPr>
          <w:trHeight w:val="312" w:hRule="atLeast"/>
        </w:trPr>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2FD18D80">
            <w:pPr>
              <w:jc w:val="center"/>
              <w:rPr>
                <w:rFonts w:ascii="彩虹粗仿宋" w:hAnsi="彩虹粗仿宋" w:eastAsia="彩虹粗仿宋" w:cs="彩虹粗仿宋"/>
                <w:color w:val="000000" w:themeColor="text1"/>
                <w:szCs w:val="21"/>
                <w14:textFill>
                  <w14:solidFill>
                    <w14:schemeClr w14:val="tx1"/>
                  </w14:solidFill>
                </w14:textFill>
              </w:rPr>
            </w:pPr>
          </w:p>
        </w:tc>
        <w:tc>
          <w:tcPr>
            <w:tcW w:w="647" w:type="pct"/>
            <w:vMerge w:val="continue"/>
            <w:tcBorders>
              <w:top w:val="single" w:color="000000" w:sz="4" w:space="0"/>
              <w:left w:val="single" w:color="000000" w:sz="4" w:space="0"/>
              <w:bottom w:val="single" w:color="000000" w:sz="4" w:space="0"/>
              <w:right w:val="single" w:color="000000" w:sz="4" w:space="0"/>
            </w:tcBorders>
            <w:noWrap/>
            <w:vAlign w:val="center"/>
          </w:tcPr>
          <w:p w14:paraId="4FD225BC">
            <w:pPr>
              <w:jc w:val="center"/>
              <w:rPr>
                <w:rFonts w:ascii="彩虹粗仿宋" w:hAnsi="彩虹粗仿宋" w:eastAsia="彩虹粗仿宋" w:cs="彩虹粗仿宋"/>
                <w:color w:val="000000" w:themeColor="text1"/>
                <w:szCs w:val="21"/>
                <w14:textFill>
                  <w14:solidFill>
                    <w14:schemeClr w14:val="tx1"/>
                  </w14:solidFill>
                </w14:textFill>
              </w:rPr>
            </w:pPr>
          </w:p>
        </w:tc>
        <w:tc>
          <w:tcPr>
            <w:tcW w:w="1762" w:type="pct"/>
            <w:vMerge w:val="continue"/>
            <w:tcBorders>
              <w:top w:val="single" w:color="000000" w:sz="4" w:space="0"/>
              <w:left w:val="single" w:color="000000" w:sz="4" w:space="0"/>
              <w:bottom w:val="single" w:color="000000" w:sz="4" w:space="0"/>
              <w:right w:val="single" w:color="000000" w:sz="4" w:space="0"/>
            </w:tcBorders>
            <w:vAlign w:val="center"/>
          </w:tcPr>
          <w:p w14:paraId="61FA0A0A">
            <w:pPr>
              <w:jc w:val="center"/>
              <w:rPr>
                <w:rFonts w:ascii="彩虹粗仿宋" w:hAnsi="彩虹粗仿宋" w:eastAsia="彩虹粗仿宋" w:cs="彩虹粗仿宋"/>
                <w:color w:val="000000" w:themeColor="text1"/>
                <w:szCs w:val="21"/>
                <w14:textFill>
                  <w14:solidFill>
                    <w14:schemeClr w14:val="tx1"/>
                  </w14:solidFill>
                </w14:textFill>
              </w:rPr>
            </w:pPr>
          </w:p>
        </w:tc>
        <w:tc>
          <w:tcPr>
            <w:tcW w:w="555" w:type="pct"/>
            <w:vMerge w:val="continue"/>
            <w:tcBorders>
              <w:top w:val="single" w:color="000000" w:sz="4" w:space="0"/>
              <w:left w:val="single" w:color="000000" w:sz="4" w:space="0"/>
              <w:bottom w:val="single" w:color="000000" w:sz="4" w:space="0"/>
              <w:right w:val="single" w:color="000000" w:sz="4" w:space="0"/>
            </w:tcBorders>
            <w:noWrap/>
            <w:vAlign w:val="center"/>
          </w:tcPr>
          <w:p w14:paraId="55AF047A">
            <w:pPr>
              <w:jc w:val="center"/>
              <w:rPr>
                <w:rFonts w:ascii="彩虹粗仿宋" w:hAnsi="彩虹粗仿宋" w:eastAsia="彩虹粗仿宋" w:cs="彩虹粗仿宋"/>
                <w:color w:val="000000" w:themeColor="text1"/>
                <w:szCs w:val="21"/>
                <w14:textFill>
                  <w14:solidFill>
                    <w14:schemeClr w14:val="tx1"/>
                  </w14:solidFill>
                </w14:textFill>
              </w:rPr>
            </w:pPr>
          </w:p>
        </w:tc>
        <w:tc>
          <w:tcPr>
            <w:tcW w:w="664" w:type="pct"/>
            <w:vMerge w:val="continue"/>
            <w:tcBorders>
              <w:top w:val="single" w:color="000000" w:sz="4" w:space="0"/>
              <w:left w:val="single" w:color="000000" w:sz="4" w:space="0"/>
              <w:bottom w:val="single" w:color="000000" w:sz="4" w:space="0"/>
              <w:right w:val="single" w:color="000000" w:sz="4" w:space="0"/>
            </w:tcBorders>
            <w:noWrap/>
            <w:vAlign w:val="center"/>
          </w:tcPr>
          <w:p w14:paraId="658775BA">
            <w:pPr>
              <w:jc w:val="center"/>
              <w:rPr>
                <w:rFonts w:ascii="宋体" w:hAnsi="宋体" w:eastAsia="宋体" w:cs="宋体"/>
                <w:color w:val="000000" w:themeColor="text1"/>
                <w:szCs w:val="21"/>
                <w14:textFill>
                  <w14:solidFill>
                    <w14:schemeClr w14:val="tx1"/>
                  </w14:solidFill>
                </w14:textFill>
              </w:rPr>
            </w:pPr>
          </w:p>
        </w:tc>
        <w:tc>
          <w:tcPr>
            <w:tcW w:w="723" w:type="pct"/>
            <w:vMerge w:val="continue"/>
            <w:tcBorders>
              <w:top w:val="single" w:color="000000" w:sz="4" w:space="0"/>
              <w:left w:val="single" w:color="000000" w:sz="4" w:space="0"/>
              <w:bottom w:val="single" w:color="000000" w:sz="4" w:space="0"/>
              <w:right w:val="single" w:color="000000" w:sz="4" w:space="0"/>
            </w:tcBorders>
            <w:noWrap/>
            <w:vAlign w:val="center"/>
          </w:tcPr>
          <w:p w14:paraId="25065E0A">
            <w:pPr>
              <w:jc w:val="center"/>
              <w:rPr>
                <w:rFonts w:ascii="彩虹粗仿宋" w:hAnsi="彩虹粗仿宋" w:eastAsia="彩虹粗仿宋" w:cs="彩虹粗仿宋"/>
                <w:color w:val="000000" w:themeColor="text1"/>
                <w:szCs w:val="21"/>
                <w14:textFill>
                  <w14:solidFill>
                    <w14:schemeClr w14:val="tx1"/>
                  </w14:solidFill>
                </w14:textFill>
              </w:rPr>
            </w:pPr>
          </w:p>
        </w:tc>
      </w:tr>
      <w:tr w14:paraId="01AC3D6E">
        <w:tblPrEx>
          <w:tblCellMar>
            <w:top w:w="0" w:type="dxa"/>
            <w:left w:w="108" w:type="dxa"/>
            <w:bottom w:w="0" w:type="dxa"/>
            <w:right w:w="108" w:type="dxa"/>
          </w:tblCellMar>
        </w:tblPrEx>
        <w:trPr>
          <w:trHeight w:val="514" w:hRule="atLeast"/>
        </w:trPr>
        <w:tc>
          <w:tcPr>
            <w:tcW w:w="1103" w:type="dxa"/>
            <w:tcBorders>
              <w:top w:val="single" w:color="000000" w:sz="4" w:space="0"/>
              <w:left w:val="single" w:color="000000" w:sz="4" w:space="0"/>
              <w:bottom w:val="single" w:color="000000" w:sz="4" w:space="0"/>
              <w:right w:val="single" w:color="000000" w:sz="4" w:space="0"/>
            </w:tcBorders>
            <w:noWrap/>
            <w:vAlign w:val="center"/>
          </w:tcPr>
          <w:p w14:paraId="2872343D">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5</w:t>
            </w:r>
          </w:p>
        </w:tc>
        <w:tc>
          <w:tcPr>
            <w:tcW w:w="1103" w:type="dxa"/>
            <w:tcBorders>
              <w:top w:val="single" w:color="000000" w:sz="4" w:space="0"/>
              <w:left w:val="single" w:color="000000" w:sz="4" w:space="0"/>
              <w:bottom w:val="single" w:color="000000" w:sz="4" w:space="0"/>
              <w:right w:val="single" w:color="000000" w:sz="4" w:space="0"/>
            </w:tcBorders>
            <w:noWrap/>
            <w:vAlign w:val="center"/>
          </w:tcPr>
          <w:p w14:paraId="15854198">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tcBorders>
              <w:top w:val="single" w:color="000000" w:sz="4" w:space="0"/>
              <w:left w:val="single" w:color="000000" w:sz="4" w:space="0"/>
              <w:bottom w:val="single" w:color="000000" w:sz="4" w:space="0"/>
              <w:right w:val="single" w:color="000000" w:sz="4" w:space="0"/>
            </w:tcBorders>
            <w:vAlign w:val="center"/>
          </w:tcPr>
          <w:p w14:paraId="27E4BE70">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UPS后备电源</w:t>
            </w:r>
          </w:p>
        </w:tc>
        <w:tc>
          <w:tcPr>
            <w:tcW w:w="555" w:type="pct"/>
            <w:tcBorders>
              <w:top w:val="single" w:color="000000" w:sz="4" w:space="0"/>
              <w:left w:val="single" w:color="000000" w:sz="4" w:space="0"/>
              <w:bottom w:val="single" w:color="000000" w:sz="4" w:space="0"/>
              <w:right w:val="single" w:color="000000" w:sz="4" w:space="0"/>
            </w:tcBorders>
            <w:noWrap/>
            <w:vAlign w:val="center"/>
          </w:tcPr>
          <w:p w14:paraId="26EF8D9C">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szCs w:val="21"/>
                <w14:textFill>
                  <w14:solidFill>
                    <w14:schemeClr w14:val="tx1"/>
                  </w14:solidFill>
                </w14:textFill>
              </w:rPr>
              <w:t>1</w:t>
            </w:r>
          </w:p>
        </w:tc>
        <w:tc>
          <w:tcPr>
            <w:tcW w:w="1132" w:type="dxa"/>
            <w:tcBorders>
              <w:top w:val="single" w:color="000000" w:sz="4" w:space="0"/>
              <w:left w:val="single" w:color="000000" w:sz="4" w:space="0"/>
              <w:bottom w:val="single" w:color="000000" w:sz="4" w:space="0"/>
              <w:right w:val="single" w:color="000000" w:sz="4" w:space="0"/>
            </w:tcBorders>
            <w:noWrap/>
            <w:vAlign w:val="center"/>
          </w:tcPr>
          <w:p w14:paraId="3D697890">
            <w:pPr>
              <w:widowControl/>
              <w:jc w:val="center"/>
              <w:textAlignment w:val="bottom"/>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套</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877B278">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1年</w:t>
            </w:r>
          </w:p>
        </w:tc>
      </w:tr>
      <w:tr w14:paraId="19FE5E3B">
        <w:tblPrEx>
          <w:tblCellMar>
            <w:top w:w="0" w:type="dxa"/>
            <w:left w:w="108" w:type="dxa"/>
            <w:bottom w:w="0" w:type="dxa"/>
            <w:right w:w="108" w:type="dxa"/>
          </w:tblCellMar>
        </w:tblPrEx>
        <w:trPr>
          <w:trHeight w:val="397" w:hRule="atLeast"/>
        </w:trPr>
        <w:tc>
          <w:tcPr>
            <w:tcW w:w="1103" w:type="dxa"/>
            <w:tcBorders>
              <w:top w:val="single" w:color="000000" w:sz="4" w:space="0"/>
              <w:left w:val="single" w:color="000000" w:sz="4" w:space="0"/>
              <w:bottom w:val="single" w:color="000000" w:sz="4" w:space="0"/>
              <w:right w:val="single" w:color="000000" w:sz="4" w:space="0"/>
            </w:tcBorders>
            <w:noWrap/>
            <w:vAlign w:val="center"/>
          </w:tcPr>
          <w:p w14:paraId="086A87FA">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6</w:t>
            </w:r>
          </w:p>
        </w:tc>
        <w:tc>
          <w:tcPr>
            <w:tcW w:w="1103" w:type="dxa"/>
            <w:tcBorders>
              <w:top w:val="single" w:color="000000" w:sz="4" w:space="0"/>
              <w:left w:val="single" w:color="000000" w:sz="4" w:space="0"/>
              <w:bottom w:val="single" w:color="000000" w:sz="4" w:space="0"/>
              <w:right w:val="single" w:color="000000" w:sz="4" w:space="0"/>
            </w:tcBorders>
            <w:noWrap/>
            <w:vAlign w:val="center"/>
          </w:tcPr>
          <w:p w14:paraId="7B0BAB2F">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tcBorders>
              <w:top w:val="single" w:color="000000" w:sz="4" w:space="0"/>
              <w:left w:val="single" w:color="000000" w:sz="4" w:space="0"/>
              <w:bottom w:val="single" w:color="000000" w:sz="4" w:space="0"/>
              <w:right w:val="single" w:color="000000" w:sz="4" w:space="0"/>
            </w:tcBorders>
            <w:vAlign w:val="center"/>
          </w:tcPr>
          <w:p w14:paraId="4E61C1EB">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自助服务终端机</w:t>
            </w:r>
          </w:p>
        </w:tc>
        <w:tc>
          <w:tcPr>
            <w:tcW w:w="555" w:type="pct"/>
            <w:tcBorders>
              <w:top w:val="single" w:color="000000" w:sz="4" w:space="0"/>
              <w:left w:val="single" w:color="000000" w:sz="4" w:space="0"/>
              <w:bottom w:val="single" w:color="000000" w:sz="4" w:space="0"/>
              <w:right w:val="single" w:color="000000" w:sz="4" w:space="0"/>
            </w:tcBorders>
            <w:noWrap/>
            <w:vAlign w:val="center"/>
          </w:tcPr>
          <w:p w14:paraId="5FBD1983">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彩虹粗仿宋" w:hAnsi="彩虹粗仿宋" w:eastAsia="彩虹粗仿宋" w:cs="彩虹粗仿宋"/>
                <w:color w:val="000000" w:themeColor="text1"/>
                <w:szCs w:val="21"/>
                <w14:textFill>
                  <w14:solidFill>
                    <w14:schemeClr w14:val="tx1"/>
                  </w14:solidFill>
                </w14:textFill>
              </w:rPr>
              <w:t>4</w:t>
            </w:r>
          </w:p>
        </w:tc>
        <w:tc>
          <w:tcPr>
            <w:tcW w:w="1132" w:type="dxa"/>
            <w:tcBorders>
              <w:top w:val="single" w:color="000000" w:sz="4" w:space="0"/>
              <w:left w:val="single" w:color="000000" w:sz="4" w:space="0"/>
              <w:bottom w:val="single" w:color="000000" w:sz="4" w:space="0"/>
              <w:right w:val="single" w:color="000000" w:sz="4" w:space="0"/>
            </w:tcBorders>
            <w:noWrap/>
            <w:vAlign w:val="center"/>
          </w:tcPr>
          <w:p w14:paraId="08FA02DB">
            <w:pPr>
              <w:widowControl/>
              <w:jc w:val="center"/>
              <w:textAlignment w:val="bottom"/>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台</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38FB70DD">
            <w:pPr>
              <w:widowControl/>
              <w:jc w:val="center"/>
              <w:textAlignment w:val="center"/>
              <w:rPr>
                <w:rFonts w:ascii="彩虹粗仿宋" w:hAnsi="彩虹粗仿宋" w:eastAsia="彩虹粗仿宋" w:cs="彩虹粗仿宋"/>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1年</w:t>
            </w:r>
          </w:p>
        </w:tc>
      </w:tr>
      <w:tr w14:paraId="260995CA">
        <w:tblPrEx>
          <w:tblCellMar>
            <w:top w:w="0" w:type="dxa"/>
            <w:left w:w="108" w:type="dxa"/>
            <w:bottom w:w="0" w:type="dxa"/>
            <w:right w:w="108" w:type="dxa"/>
          </w:tblCellMar>
        </w:tblPrEx>
        <w:trPr>
          <w:trHeight w:val="476" w:hRule="atLeast"/>
        </w:trPr>
        <w:tc>
          <w:tcPr>
            <w:tcW w:w="1103" w:type="dxa"/>
            <w:tcBorders>
              <w:top w:val="single" w:color="000000" w:sz="4" w:space="0"/>
              <w:left w:val="single" w:color="000000" w:sz="4" w:space="0"/>
              <w:bottom w:val="single" w:color="000000" w:sz="4" w:space="0"/>
              <w:right w:val="single" w:color="000000" w:sz="4" w:space="0"/>
            </w:tcBorders>
            <w:noWrap/>
            <w:vAlign w:val="center"/>
          </w:tcPr>
          <w:p w14:paraId="26ED7E53">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7</w:t>
            </w:r>
          </w:p>
        </w:tc>
        <w:tc>
          <w:tcPr>
            <w:tcW w:w="1103" w:type="dxa"/>
            <w:tcBorders>
              <w:top w:val="single" w:color="000000" w:sz="4" w:space="0"/>
              <w:left w:val="single" w:color="000000" w:sz="4" w:space="0"/>
              <w:bottom w:val="single" w:color="000000" w:sz="4" w:space="0"/>
              <w:right w:val="single" w:color="000000" w:sz="4" w:space="0"/>
            </w:tcBorders>
            <w:noWrap/>
            <w:vAlign w:val="center"/>
          </w:tcPr>
          <w:p w14:paraId="1ED4715F">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硬件</w:t>
            </w:r>
          </w:p>
        </w:tc>
        <w:tc>
          <w:tcPr>
            <w:tcW w:w="3003" w:type="dxa"/>
            <w:tcBorders>
              <w:top w:val="single" w:color="000000" w:sz="4" w:space="0"/>
              <w:left w:val="single" w:color="000000" w:sz="4" w:space="0"/>
              <w:bottom w:val="single" w:color="000000" w:sz="4" w:space="0"/>
              <w:right w:val="single" w:color="000000" w:sz="4" w:space="0"/>
            </w:tcBorders>
            <w:vAlign w:val="center"/>
          </w:tcPr>
          <w:p w14:paraId="276E7B78">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智能水控消费机（860终端）</w:t>
            </w:r>
          </w:p>
        </w:tc>
        <w:tc>
          <w:tcPr>
            <w:tcW w:w="555" w:type="pct"/>
            <w:tcBorders>
              <w:top w:val="single" w:color="000000" w:sz="4" w:space="0"/>
              <w:left w:val="single" w:color="000000" w:sz="4" w:space="0"/>
              <w:bottom w:val="single" w:color="000000" w:sz="4" w:space="0"/>
              <w:right w:val="single" w:color="000000" w:sz="4" w:space="0"/>
            </w:tcBorders>
            <w:noWrap/>
            <w:vAlign w:val="center"/>
          </w:tcPr>
          <w:p w14:paraId="1CAB6A34">
            <w:pPr>
              <w:widowControl/>
              <w:jc w:val="center"/>
              <w:textAlignment w:val="center"/>
              <w:rPr>
                <w:rFonts w:ascii="彩虹粗仿宋" w:hAnsi="彩虹粗仿宋" w:eastAsia="彩虹粗仿宋" w:cs="彩虹粗仿宋"/>
                <w:color w:val="000000" w:themeColor="text1"/>
                <w:kern w:val="0"/>
                <w:szCs w:val="21"/>
                <w:lang w:bidi="ar"/>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1</w:t>
            </w:r>
          </w:p>
        </w:tc>
        <w:tc>
          <w:tcPr>
            <w:tcW w:w="1132" w:type="dxa"/>
            <w:tcBorders>
              <w:top w:val="single" w:color="000000" w:sz="4" w:space="0"/>
              <w:left w:val="single" w:color="000000" w:sz="4" w:space="0"/>
              <w:bottom w:val="single" w:color="000000" w:sz="4" w:space="0"/>
              <w:right w:val="single" w:color="000000" w:sz="4" w:space="0"/>
            </w:tcBorders>
            <w:noWrap/>
            <w:vAlign w:val="center"/>
          </w:tcPr>
          <w:p w14:paraId="6693E1CA">
            <w:pPr>
              <w:widowControl/>
              <w:jc w:val="center"/>
              <w:textAlignment w:val="bottom"/>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套</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5F9B8E4C">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1年</w:t>
            </w:r>
          </w:p>
        </w:tc>
      </w:tr>
      <w:tr w14:paraId="1DEFFC33">
        <w:tblPrEx>
          <w:tblCellMar>
            <w:top w:w="0" w:type="dxa"/>
            <w:left w:w="108" w:type="dxa"/>
            <w:bottom w:w="0" w:type="dxa"/>
            <w:right w:w="108" w:type="dxa"/>
          </w:tblCellMar>
        </w:tblPrEx>
        <w:trPr>
          <w:trHeight w:val="476" w:hRule="atLeast"/>
        </w:trPr>
        <w:tc>
          <w:tcPr>
            <w:tcW w:w="1103" w:type="dxa"/>
            <w:tcBorders>
              <w:top w:val="single" w:color="000000" w:sz="4" w:space="0"/>
              <w:left w:val="single" w:color="000000" w:sz="4" w:space="0"/>
              <w:bottom w:val="single" w:color="000000" w:sz="4" w:space="0"/>
              <w:right w:val="single" w:color="000000" w:sz="4" w:space="0"/>
            </w:tcBorders>
            <w:noWrap/>
            <w:vAlign w:val="center"/>
          </w:tcPr>
          <w:p w14:paraId="451D8952">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8</w:t>
            </w:r>
          </w:p>
        </w:tc>
        <w:tc>
          <w:tcPr>
            <w:tcW w:w="1103" w:type="dxa"/>
            <w:tcBorders>
              <w:top w:val="single" w:color="000000" w:sz="4" w:space="0"/>
              <w:left w:val="single" w:color="000000" w:sz="4" w:space="0"/>
              <w:bottom w:val="single" w:color="000000" w:sz="4" w:space="0"/>
              <w:right w:val="single" w:color="000000" w:sz="4" w:space="0"/>
            </w:tcBorders>
            <w:noWrap/>
            <w:vAlign w:val="center"/>
          </w:tcPr>
          <w:p w14:paraId="3E47000F">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服务费</w:t>
            </w:r>
          </w:p>
        </w:tc>
        <w:tc>
          <w:tcPr>
            <w:tcW w:w="3003" w:type="dxa"/>
            <w:tcBorders>
              <w:top w:val="single" w:color="000000" w:sz="4" w:space="0"/>
              <w:left w:val="single" w:color="000000" w:sz="4" w:space="0"/>
              <w:bottom w:val="single" w:color="000000" w:sz="4" w:space="0"/>
              <w:right w:val="single" w:color="000000" w:sz="4" w:space="0"/>
            </w:tcBorders>
            <w:vAlign w:val="center"/>
          </w:tcPr>
          <w:p w14:paraId="54A22779">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维保费用</w:t>
            </w:r>
          </w:p>
        </w:tc>
        <w:tc>
          <w:tcPr>
            <w:tcW w:w="555" w:type="pct"/>
            <w:tcBorders>
              <w:top w:val="single" w:color="000000" w:sz="4" w:space="0"/>
              <w:left w:val="single" w:color="000000" w:sz="4" w:space="0"/>
              <w:bottom w:val="single" w:color="000000" w:sz="4" w:space="0"/>
              <w:right w:val="single" w:color="000000" w:sz="4" w:space="0"/>
            </w:tcBorders>
            <w:noWrap/>
            <w:vAlign w:val="center"/>
          </w:tcPr>
          <w:p w14:paraId="303695CE">
            <w:pPr>
              <w:widowControl/>
              <w:jc w:val="center"/>
              <w:textAlignment w:val="center"/>
              <w:rPr>
                <w:rFonts w:ascii="彩虹粗仿宋" w:hAnsi="彩虹粗仿宋" w:eastAsia="彩虹粗仿宋" w:cs="彩虹粗仿宋"/>
                <w:color w:val="000000" w:themeColor="text1"/>
                <w:kern w:val="0"/>
                <w:szCs w:val="21"/>
                <w:lang w:bidi="ar"/>
                <w14:textFill>
                  <w14:solidFill>
                    <w14:schemeClr w14:val="tx1"/>
                  </w14:solidFill>
                </w14:textFill>
              </w:rPr>
            </w:pPr>
            <w:r>
              <w:rPr>
                <w:rFonts w:hint="eastAsia" w:ascii="彩虹粗仿宋" w:hAnsi="彩虹粗仿宋" w:eastAsia="彩虹粗仿宋" w:cs="彩虹粗仿宋"/>
                <w:color w:val="000000" w:themeColor="text1"/>
                <w:kern w:val="0"/>
                <w:szCs w:val="21"/>
                <w:lang w:bidi="ar"/>
                <w14:textFill>
                  <w14:solidFill>
                    <w14:schemeClr w14:val="tx1"/>
                  </w14:solidFill>
                </w14:textFill>
              </w:rPr>
              <w:t>7</w:t>
            </w:r>
          </w:p>
        </w:tc>
        <w:tc>
          <w:tcPr>
            <w:tcW w:w="1132" w:type="dxa"/>
            <w:tcBorders>
              <w:top w:val="single" w:color="000000" w:sz="4" w:space="0"/>
              <w:left w:val="single" w:color="000000" w:sz="4" w:space="0"/>
              <w:bottom w:val="single" w:color="000000" w:sz="4" w:space="0"/>
              <w:right w:val="single" w:color="000000" w:sz="4" w:space="0"/>
            </w:tcBorders>
            <w:noWrap/>
            <w:vAlign w:val="center"/>
          </w:tcPr>
          <w:p w14:paraId="266F60E0">
            <w:pPr>
              <w:widowControl/>
              <w:jc w:val="center"/>
              <w:textAlignment w:val="bottom"/>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年</w:t>
            </w:r>
          </w:p>
        </w:tc>
        <w:tc>
          <w:tcPr>
            <w:tcW w:w="1232" w:type="dxa"/>
            <w:tcBorders>
              <w:top w:val="single" w:color="000000" w:sz="4" w:space="0"/>
              <w:left w:val="single" w:color="000000" w:sz="4" w:space="0"/>
              <w:bottom w:val="single" w:color="000000" w:sz="4" w:space="0"/>
              <w:right w:val="single" w:color="000000" w:sz="4" w:space="0"/>
            </w:tcBorders>
            <w:noWrap/>
            <w:vAlign w:val="center"/>
          </w:tcPr>
          <w:p w14:paraId="46614F09">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p>
        </w:tc>
      </w:tr>
    </w:tbl>
    <w:p w14:paraId="73CD1BED">
      <w:pPr>
        <w:pStyle w:val="5"/>
        <w:spacing w:line="240" w:lineRule="auto"/>
        <w:ind w:firstLine="643"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二、供应商资质要求</w:t>
      </w:r>
    </w:p>
    <w:p w14:paraId="6522F00B">
      <w:pPr>
        <w:pStyle w:val="6"/>
        <w:ind w:firstLine="640" w:firstLineChars="200"/>
        <w:jc w:val="left"/>
        <w:rPr>
          <w:rFonts w:hint="eastAsia" w:ascii="彩虹粗仿宋" w:hAnsi="宋体" w:eastAsia="彩虹粗仿宋"/>
          <w:color w:val="000000" w:themeColor="text1"/>
          <w:sz w:val="32"/>
          <w:szCs w:val="32"/>
          <w:highlight w:val="none"/>
          <w14:textFill>
            <w14:solidFill>
              <w14:schemeClr w14:val="tx1"/>
            </w14:solidFill>
          </w14:textFill>
        </w:rPr>
      </w:pPr>
      <w:r>
        <w:rPr>
          <w:rFonts w:hint="eastAsia" w:ascii="彩虹粗仿宋" w:hAnsi="宋体" w:eastAsia="彩虹粗仿宋"/>
          <w:color w:val="000000" w:themeColor="text1"/>
          <w:sz w:val="32"/>
          <w:szCs w:val="32"/>
          <w:highlight w:val="none"/>
          <w14:textFill>
            <w14:solidFill>
              <w14:schemeClr w14:val="tx1"/>
            </w14:solidFill>
          </w14:textFill>
        </w:rPr>
        <w:t>参与本项目的供应商必须满足以下条件：</w:t>
      </w:r>
    </w:p>
    <w:p w14:paraId="5C4D7914">
      <w:pPr>
        <w:spacing w:line="560" w:lineRule="exact"/>
        <w:ind w:firstLine="640" w:firstLineChars="200"/>
        <w:rPr>
          <w:rFonts w:hint="eastAsia" w:ascii="彩虹粗仿宋" w:hAnsi="宋体" w:eastAsia="彩虹粗仿宋"/>
          <w:color w:val="000000" w:themeColor="text1"/>
          <w:sz w:val="32"/>
          <w:szCs w:val="32"/>
          <w:highlight w:val="none"/>
          <w:lang w:val="en-US" w:eastAsia="zh-CN"/>
          <w14:textFill>
            <w14:solidFill>
              <w14:schemeClr w14:val="tx1"/>
            </w14:solidFill>
          </w14:textFill>
        </w:rPr>
      </w:pPr>
      <w:r>
        <w:rPr>
          <w:rFonts w:hint="eastAsia" w:ascii="彩虹粗仿宋" w:hAnsi="宋体" w:eastAsia="彩虹粗仿宋"/>
          <w:color w:val="000000" w:themeColor="text1"/>
          <w:sz w:val="32"/>
          <w:szCs w:val="32"/>
          <w:highlight w:val="none"/>
          <w:lang w:val="en-US" w:eastAsia="zh-CN"/>
          <w14:textFill>
            <w14:solidFill>
              <w14:schemeClr w14:val="tx1"/>
            </w14:solidFill>
          </w14:textFill>
        </w:rPr>
        <w:t>1、</w:t>
      </w:r>
      <w:r>
        <w:rPr>
          <w:rFonts w:hint="eastAsia" w:ascii="彩虹粗仿宋" w:eastAsia="彩虹粗仿宋"/>
          <w:color w:val="000000" w:themeColor="text1"/>
          <w:sz w:val="32"/>
          <w:szCs w:val="32"/>
          <w:highlight w:val="none"/>
          <w14:textFill>
            <w14:solidFill>
              <w14:schemeClr w14:val="tx1"/>
            </w14:solidFill>
          </w14:textFill>
        </w:rPr>
        <w:t>在中国境内有效注册，成立时间大于</w:t>
      </w:r>
      <w:r>
        <w:rPr>
          <w:rFonts w:hint="eastAsia" w:ascii="彩虹粗仿宋" w:eastAsia="彩虹粗仿宋"/>
          <w:color w:val="000000" w:themeColor="text1"/>
          <w:sz w:val="32"/>
          <w:szCs w:val="32"/>
          <w:highlight w:val="none"/>
          <w:lang w:val="en-US" w:eastAsia="zh-CN"/>
          <w14:textFill>
            <w14:solidFill>
              <w14:schemeClr w14:val="tx1"/>
            </w14:solidFill>
          </w14:textFill>
        </w:rPr>
        <w:t>3</w:t>
      </w:r>
      <w:r>
        <w:rPr>
          <w:rFonts w:hint="eastAsia" w:ascii="彩虹粗仿宋" w:eastAsia="彩虹粗仿宋"/>
          <w:color w:val="000000" w:themeColor="text1"/>
          <w:sz w:val="32"/>
          <w:szCs w:val="32"/>
          <w:highlight w:val="none"/>
          <w14:textFill>
            <w14:solidFill>
              <w14:schemeClr w14:val="tx1"/>
            </w14:solidFill>
          </w14:textFill>
        </w:rPr>
        <w:t>年（以营业执照注明的成立时间至征集公告截止时间计算），遵守中国的法律、法规和条例；</w:t>
      </w:r>
    </w:p>
    <w:p w14:paraId="49C3B262">
      <w:pPr>
        <w:pStyle w:val="6"/>
        <w:spacing w:line="360" w:lineRule="auto"/>
        <w:ind w:firstLine="640" w:firstLineChars="200"/>
        <w:jc w:val="left"/>
        <w:rPr>
          <w:rFonts w:hint="eastAsia" w:ascii="彩虹粗仿宋" w:hAnsi="宋体" w:eastAsia="彩虹粗仿宋"/>
          <w:color w:val="000000" w:themeColor="text1"/>
          <w:sz w:val="32"/>
          <w:szCs w:val="32"/>
          <w:highlight w:val="none"/>
          <w:lang w:val="en-US" w:eastAsia="zh-CN"/>
          <w14:textFill>
            <w14:solidFill>
              <w14:schemeClr w14:val="tx1"/>
            </w14:solidFill>
          </w14:textFill>
        </w:rPr>
      </w:pPr>
      <w:r>
        <w:rPr>
          <w:rFonts w:hint="eastAsia" w:ascii="彩虹粗仿宋" w:hAnsi="宋体" w:eastAsia="彩虹粗仿宋"/>
          <w:color w:val="000000" w:themeColor="text1"/>
          <w:sz w:val="32"/>
          <w:szCs w:val="32"/>
          <w:highlight w:val="none"/>
          <w:lang w:val="en-US" w:eastAsia="zh-CN"/>
          <w14:textFill>
            <w14:solidFill>
              <w14:schemeClr w14:val="tx1"/>
            </w14:solidFill>
          </w14:textFill>
        </w:rPr>
        <w:t>2、</w:t>
      </w:r>
      <w:r>
        <w:rPr>
          <w:rFonts w:hint="eastAsia" w:ascii="彩虹粗仿宋" w:hAnsi="宋体" w:eastAsia="彩虹粗仿宋"/>
          <w:color w:val="000000" w:themeColor="text1"/>
          <w:sz w:val="32"/>
          <w:szCs w:val="32"/>
          <w:highlight w:val="none"/>
          <w14:textFill>
            <w14:solidFill>
              <w14:schemeClr w14:val="tx1"/>
            </w14:solidFill>
          </w14:textFill>
        </w:rPr>
        <w:t>至少有1个（含）以上与一卡通系统项目相关的服务案例</w:t>
      </w:r>
      <w:r>
        <w:rPr>
          <w:rFonts w:hint="eastAsia" w:ascii="彩虹粗仿宋" w:hAnsi="宋体" w:eastAsia="彩虹粗仿宋"/>
          <w:color w:val="000000" w:themeColor="text1"/>
          <w:sz w:val="32"/>
          <w:szCs w:val="32"/>
          <w:highlight w:val="none"/>
          <w:lang w:eastAsia="zh-CN"/>
          <w14:textFill>
            <w14:solidFill>
              <w14:schemeClr w14:val="tx1"/>
            </w14:solidFill>
          </w14:textFill>
        </w:rPr>
        <w:t>，</w:t>
      </w:r>
      <w:r>
        <w:rPr>
          <w:rFonts w:hint="eastAsia" w:ascii="彩虹粗仿宋" w:hAnsi="宋体" w:eastAsia="彩虹粗仿宋"/>
          <w:color w:val="000000" w:themeColor="text1"/>
          <w:sz w:val="32"/>
          <w:szCs w:val="32"/>
          <w:highlight w:val="none"/>
          <w14:textFill>
            <w14:solidFill>
              <w14:schemeClr w14:val="tx1"/>
            </w14:solidFill>
          </w14:textFill>
        </w:rPr>
        <w:t>需提供项目合同</w:t>
      </w:r>
      <w:r>
        <w:rPr>
          <w:rFonts w:hint="eastAsia" w:ascii="彩虹粗仿宋" w:hAnsi="宋体" w:eastAsia="彩虹粗仿宋"/>
          <w:color w:val="000000" w:themeColor="text1"/>
          <w:sz w:val="32"/>
          <w:szCs w:val="32"/>
          <w:highlight w:val="none"/>
          <w:lang w:eastAsia="zh-CN"/>
          <w14:textFill>
            <w14:solidFill>
              <w14:schemeClr w14:val="tx1"/>
            </w14:solidFill>
          </w14:textFill>
        </w:rPr>
        <w:t>，</w:t>
      </w:r>
      <w:r>
        <w:rPr>
          <w:rFonts w:hint="eastAsia" w:ascii="彩虹粗仿宋" w:hAnsi="宋体" w:eastAsia="彩虹粗仿宋"/>
          <w:color w:val="000000" w:themeColor="text1"/>
          <w:sz w:val="32"/>
          <w:szCs w:val="32"/>
          <w:highlight w:val="none"/>
          <w14:textFill>
            <w14:solidFill>
              <w14:schemeClr w14:val="tx1"/>
            </w14:solidFill>
          </w14:textFill>
        </w:rPr>
        <w:t>合同内容需包含一卡通系统的硬件设备销售。</w:t>
      </w:r>
    </w:p>
    <w:p w14:paraId="11FCF740">
      <w:pPr>
        <w:ind w:firstLine="739" w:firstLineChars="230"/>
        <w:rPr>
          <w:rFonts w:ascii="Arial" w:hAnsi="Arial" w:eastAsia="黑体"/>
          <w:b/>
          <w:color w:val="000000" w:themeColor="text1"/>
          <w:sz w:val="32"/>
          <w14:textFill>
            <w14:solidFill>
              <w14:schemeClr w14:val="tx1"/>
            </w14:solidFill>
          </w14:textFill>
        </w:rPr>
      </w:pPr>
      <w:r>
        <w:rPr>
          <w:rFonts w:hint="eastAsia" w:ascii="Arial" w:hAnsi="Arial" w:eastAsia="黑体"/>
          <w:b/>
          <w:color w:val="000000" w:themeColor="text1"/>
          <w:sz w:val="32"/>
          <w14:textFill>
            <w14:solidFill>
              <w14:schemeClr w14:val="tx1"/>
            </w14:solidFill>
          </w14:textFill>
        </w:rPr>
        <w:t xml:space="preserve">三、产品规格 </w:t>
      </w:r>
    </w:p>
    <w:tbl>
      <w:tblPr>
        <w:tblStyle w:val="8"/>
        <w:tblW w:w="80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0"/>
        <w:gridCol w:w="607"/>
        <w:gridCol w:w="616"/>
        <w:gridCol w:w="6342"/>
      </w:tblGrid>
      <w:tr w14:paraId="1051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52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199E8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序号</w:t>
            </w:r>
          </w:p>
        </w:tc>
        <w:tc>
          <w:tcPr>
            <w:tcW w:w="6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43D1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软/硬</w:t>
            </w:r>
          </w:p>
        </w:tc>
        <w:tc>
          <w:tcPr>
            <w:tcW w:w="61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06D1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设备(软件）名称</w:t>
            </w:r>
          </w:p>
        </w:tc>
        <w:tc>
          <w:tcPr>
            <w:tcW w:w="63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0E5A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功能配置说明</w:t>
            </w:r>
          </w:p>
        </w:tc>
      </w:tr>
      <w:tr w14:paraId="458E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18DF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0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2967B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600557B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饭堂消费刷卡机（60终端）</w:t>
            </w:r>
          </w:p>
        </w:tc>
        <w:tc>
          <w:tcPr>
            <w:tcW w:w="63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165B1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1、带扫码刷卡及人脸识别处理器：高性能32位4核ARM芯片</w:t>
            </w:r>
            <w:r>
              <w:rPr>
                <w:rStyle w:val="11"/>
                <w:rFonts w:hint="default"/>
                <w:color w:val="000000" w:themeColor="text1"/>
                <w:sz w:val="16"/>
                <w:szCs w:val="16"/>
                <w:lang w:bidi="ar"/>
                <w14:textFill>
                  <w14:solidFill>
                    <w14:schemeClr w14:val="tx1"/>
                  </w14:solidFill>
                </w14:textFill>
              </w:rPr>
              <w:t>(不低于四核</w:t>
            </w:r>
            <w:r>
              <w:rPr>
                <w:rStyle w:val="12"/>
                <w:rFonts w:hint="default"/>
                <w:color w:val="000000" w:themeColor="text1"/>
                <w:sz w:val="16"/>
                <w:szCs w:val="16"/>
                <w:lang w:bidi="ar"/>
                <w14:textFill>
                  <w14:solidFill>
                    <w14:schemeClr w14:val="tx1"/>
                  </w14:solidFill>
                </w14:textFill>
              </w:rPr>
              <w:t>或等效计算能力)</w:t>
            </w:r>
          </w:p>
        </w:tc>
      </w:tr>
      <w:tr w14:paraId="1F6F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F1AE59A">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102D7C0">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620521B">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216515D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2、摄像头：200W像素以上</w:t>
            </w:r>
          </w:p>
        </w:tc>
      </w:tr>
      <w:tr w14:paraId="1987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68262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7790A9D">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6799FF9">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5A9D0B4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3、图像传感器：不低于4mm焦距，F1.6-F2.4光圈</w:t>
            </w:r>
          </w:p>
        </w:tc>
      </w:tr>
      <w:tr w14:paraId="1F902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6A649BB">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A0BC615">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8AC3FB7">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29ACC0B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4、操作系统：android7.1以上</w:t>
            </w:r>
          </w:p>
        </w:tc>
      </w:tr>
      <w:tr w14:paraId="79A36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1720C4F">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FD18C68">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43D59D9">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2622F1C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5、输入电源：12V2A</w:t>
            </w:r>
          </w:p>
        </w:tc>
      </w:tr>
      <w:tr w14:paraId="5D961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EDAD6A">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7FAE629">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31AE830">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67E0679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6、逆光识别照度：＜6000Lux</w:t>
            </w:r>
          </w:p>
        </w:tc>
      </w:tr>
      <w:tr w14:paraId="28C08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D1A906">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BB7C746">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6A7E322">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376EA0F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7、有效识别距离：0.3米-2米</w:t>
            </w:r>
          </w:p>
        </w:tc>
      </w:tr>
      <w:tr w14:paraId="44326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9E0E82">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6E9B348">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4C202D9">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4597AB2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8、屏幕：不低于7英寸, 不低于1280 x 720 像素；</w:t>
            </w:r>
          </w:p>
        </w:tc>
      </w:tr>
      <w:tr w14:paraId="3A805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16C084">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17AAFFC">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C6017BE">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32F7411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9、物理接口：(可转接实现)：至少 1个 OTG 接口，至少1个 SIM 卡槽；</w:t>
            </w:r>
          </w:p>
        </w:tc>
      </w:tr>
      <w:tr w14:paraId="67D9C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CD26D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2235A42">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AB2F6D7">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0F06FE4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10、通讯模块：支持 4G 全网通，兼容 3G\2G 制式，兼容三网通讯；支持 Wifi通讯；</w:t>
            </w:r>
          </w:p>
        </w:tc>
      </w:tr>
      <w:tr w14:paraId="687A6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E68E66">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E4EBB7E">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EDF53CB">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66F1F35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11、人脸库：10000人以上</w:t>
            </w:r>
          </w:p>
        </w:tc>
      </w:tr>
      <w:tr w14:paraId="477E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035674">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32D5CED">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6A99B12">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43424F68">
            <w:pPr>
              <w:keepNext w:val="0"/>
              <w:keepLines w:val="0"/>
              <w:widowControl/>
              <w:numPr>
                <w:ilvl w:val="0"/>
                <w:numId w:val="1"/>
              </w:numPr>
              <w:suppressLineNumbers w:val="0"/>
              <w:jc w:val="left"/>
              <w:textAlignment w:val="center"/>
              <w:rPr>
                <w:rFonts w:hint="eastAsia"/>
              </w:rPr>
            </w:pPr>
            <w:r>
              <w:rPr>
                <w:rFonts w:hint="eastAsia" w:ascii="宋体" w:hAnsi="宋体" w:eastAsia="宋体" w:cs="宋体"/>
                <w:i w:val="0"/>
                <w:iCs w:val="0"/>
                <w:color w:val="000000"/>
                <w:kern w:val="0"/>
                <w:sz w:val="16"/>
                <w:szCs w:val="16"/>
                <w:u w:val="none"/>
                <w:lang w:val="en-US" w:eastAsia="zh-CN" w:bidi="ar"/>
              </w:rPr>
              <w:t>在设备上通过刷卡、扫脸收取不同金额的押金及原路退回押金的功能。</w:t>
            </w:r>
          </w:p>
        </w:tc>
      </w:tr>
      <w:tr w14:paraId="1005D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nil"/>
              <w:left w:val="single" w:color="000000" w:sz="8" w:space="0"/>
              <w:bottom w:val="single" w:color="000000" w:sz="8" w:space="0"/>
              <w:right w:val="single" w:color="000000" w:sz="8" w:space="0"/>
            </w:tcBorders>
            <w:shd w:val="clear" w:color="auto" w:fill="auto"/>
            <w:noWrap/>
            <w:vAlign w:val="center"/>
          </w:tcPr>
          <w:p w14:paraId="756CB1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607" w:type="dxa"/>
            <w:vMerge w:val="restart"/>
            <w:tcBorders>
              <w:top w:val="nil"/>
              <w:left w:val="single" w:color="000000" w:sz="8" w:space="0"/>
              <w:bottom w:val="single" w:color="000000" w:sz="8" w:space="0"/>
              <w:right w:val="single" w:color="000000" w:sz="8" w:space="0"/>
            </w:tcBorders>
            <w:shd w:val="clear" w:color="auto" w:fill="FFFFFF"/>
            <w:vAlign w:val="center"/>
          </w:tcPr>
          <w:p w14:paraId="0B4BDC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nil"/>
              <w:left w:val="single" w:color="000000" w:sz="8" w:space="0"/>
              <w:bottom w:val="single" w:color="000000" w:sz="8" w:space="0"/>
              <w:right w:val="single" w:color="000000" w:sz="8" w:space="0"/>
            </w:tcBorders>
            <w:shd w:val="clear" w:color="auto" w:fill="FFFFFF"/>
            <w:vAlign w:val="center"/>
          </w:tcPr>
          <w:p w14:paraId="0D8A5C1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服务器</w:t>
            </w: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015C7E8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1、国有知名品牌，自主可控非OEM产品，标准2U机架式服务器；</w:t>
            </w:r>
          </w:p>
        </w:tc>
      </w:tr>
      <w:tr w14:paraId="34B2A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3B13E463">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7BEA3ACF">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6925A1AA">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5B56501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2、最大可配置1颗自主可控X86架构处理器，主频（基频）≥2.5 GHz，最高频率≥2.5GHz，单颗核心数≥16核；</w:t>
            </w:r>
          </w:p>
        </w:tc>
      </w:tr>
      <w:tr w14:paraId="43D6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1992A709">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7F53747C">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4013BAD0">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3BAF76C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3、配置≥32GB 3200MHz DDR4内存；可扩展≥16个内存插槽，支持最大容量1TB，支持内存纠错等高级功能</w:t>
            </w:r>
          </w:p>
        </w:tc>
      </w:tr>
      <w:tr w14:paraId="63981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76530901">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5CD4105D">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05B019CC">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51EC93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4、本次配置2块4T SATA硬盘，支持12块3.5英寸硬盘，后置支持4块2.5英寸硬盘，另外通过内置M.2硬盘承载操作系统，为客户提供存储灵活配置，更好支持分级存储应用及分布式存储应用场景，最大支持8个NVMe SSD。</w:t>
            </w:r>
          </w:p>
        </w:tc>
      </w:tr>
      <w:tr w14:paraId="0792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7AE6C6DA">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2B19D3F9">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3352FC93">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7F3C2C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5、支持RAID 0/1/10/50等，配置≥2GBraid Cache，支持电容掉电保护；</w:t>
            </w:r>
          </w:p>
        </w:tc>
      </w:tr>
      <w:tr w14:paraId="06CC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14EBEE0C">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639E396B">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4DCD0DE2">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4B1265C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6、配置2个千兆网口，且采用国产网络芯片， 支持NC-SI、网络唤醒、带外管理等功能；支持OCP3.0网卡，支持热插拔；板载1个千兆管理专用以太网口，采用具有完全的自主知识产权与自主可控网卡芯片；</w:t>
            </w:r>
          </w:p>
        </w:tc>
      </w:tr>
      <w:tr w14:paraId="70DF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32B93E52">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19AC822F">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1035C6E1">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18A2F84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7、最大支持5个PCIe 3.0插槽，不含OCP插槽和存储设备专用插槽；</w:t>
            </w:r>
          </w:p>
        </w:tc>
      </w:tr>
      <w:tr w14:paraId="06555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1A0BF732">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5C8752D0">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67E2A277">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2D60945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8、板载≥4个USB接口，其中USB3.0≥3个；≥2个VGA接口（前后面板各1个）；</w:t>
            </w:r>
          </w:p>
        </w:tc>
      </w:tr>
      <w:tr w14:paraId="7543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7188C3F4">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3410D851">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1C59540F">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7B626FD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9、配置≥2个550W热插拔冗余电源模块，通过80plus铂金认证；配置≥4个热插拔冗余风扇，支持全天候监控设备运行状态，实现故障、停机、宕机适时预警；</w:t>
            </w:r>
          </w:p>
        </w:tc>
      </w:tr>
      <w:tr w14:paraId="16E0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7FA1D826">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2D697660">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61E1DF84">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78253F1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提供CNAS认可实验室认证的MTBF时间≥20W小时证书及检测报告（需加盖检测机构公章），提供绿色数据中心认证证书，投标产品须通过3C认证、节能、环境认证证书并提供证书复印件并加盖厂家公章，投标产品须通过可信计算3.0兼容性认证证书</w:t>
            </w:r>
          </w:p>
        </w:tc>
      </w:tr>
      <w:tr w14:paraId="0C8A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7C86AFC3">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41EDFC3E">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1A158A26">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3DAA1A5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提供和服务器、存储、交换机同品牌的国产操作系统，支持安装Intel、AMD、兆芯、海光等主流的X86平台服务器，支持如飞腾、龙芯等非X86架构服务，且操作系统的使用及升级不受服务器数量和核数的限制，并提供操作系统原厂的售后服务。</w:t>
            </w:r>
          </w:p>
        </w:tc>
      </w:tr>
      <w:tr w14:paraId="06C3C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7489E18B">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single" w:color="000000" w:sz="8" w:space="0"/>
              <w:right w:val="single" w:color="000000" w:sz="8" w:space="0"/>
            </w:tcBorders>
            <w:shd w:val="clear" w:color="auto" w:fill="FFFFFF"/>
            <w:vAlign w:val="center"/>
          </w:tcPr>
          <w:p w14:paraId="4DE82CAA">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single" w:color="000000" w:sz="8" w:space="0"/>
              <w:right w:val="single" w:color="000000" w:sz="8" w:space="0"/>
            </w:tcBorders>
            <w:shd w:val="clear" w:color="auto" w:fill="FFFFFF"/>
            <w:vAlign w:val="center"/>
          </w:tcPr>
          <w:p w14:paraId="325ED362">
            <w:pPr>
              <w:jc w:val="left"/>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6991950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12、服务：8年7x24小时电话支持。投标时提供针对该项目原厂授权和产品彩页。供货时提供原厂供货及售后证明函。</w:t>
            </w:r>
          </w:p>
        </w:tc>
      </w:tr>
      <w:tr w14:paraId="3DE7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restart"/>
            <w:tcBorders>
              <w:top w:val="nil"/>
              <w:left w:val="single" w:color="000000" w:sz="8" w:space="0"/>
              <w:bottom w:val="nil"/>
              <w:right w:val="single" w:color="000000" w:sz="8" w:space="0"/>
            </w:tcBorders>
            <w:shd w:val="clear" w:color="auto" w:fill="auto"/>
            <w:noWrap/>
            <w:vAlign w:val="center"/>
          </w:tcPr>
          <w:p w14:paraId="7F7337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607" w:type="dxa"/>
            <w:vMerge w:val="restart"/>
            <w:tcBorders>
              <w:top w:val="nil"/>
              <w:left w:val="single" w:color="000000" w:sz="8" w:space="0"/>
              <w:bottom w:val="nil"/>
              <w:right w:val="single" w:color="000000" w:sz="8" w:space="0"/>
            </w:tcBorders>
            <w:shd w:val="clear" w:color="auto" w:fill="FFFFFF"/>
            <w:vAlign w:val="center"/>
          </w:tcPr>
          <w:p w14:paraId="723987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nil"/>
              <w:left w:val="single" w:color="000000" w:sz="8" w:space="0"/>
              <w:bottom w:val="nil"/>
              <w:right w:val="single" w:color="000000" w:sz="8" w:space="0"/>
            </w:tcBorders>
            <w:shd w:val="clear" w:color="auto" w:fill="FFFFFF"/>
            <w:vAlign w:val="center"/>
          </w:tcPr>
          <w:p w14:paraId="6B8ED814">
            <w:pPr>
              <w:keepNext w:val="0"/>
              <w:keepLines w:val="0"/>
              <w:widowControl/>
              <w:suppressLineNumbers w:val="0"/>
              <w:jc w:val="center"/>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网络交换机</w:t>
            </w: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4CE5BCA7">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1、固定千兆端口：24个10/100 /1000Mbps自适应电口、 2个10/100 /1000Mbps光口；</w:t>
            </w:r>
          </w:p>
        </w:tc>
      </w:tr>
      <w:tr w14:paraId="013A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38B99EC5">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098FEC01">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73127F1D">
            <w:pPr>
              <w:jc w:val="center"/>
              <w:rPr>
                <w:rFonts w:hint="eastAsia" w:ascii="宋体" w:hAnsi="宋体" w:eastAsia="宋体" w:cs="宋体"/>
                <w:i w:val="0"/>
                <w:iCs w:val="0"/>
                <w:color w:val="000000" w:themeColor="text1"/>
                <w:sz w:val="16"/>
                <w:szCs w:val="16"/>
                <w:u w:val="none"/>
                <w14:textFill>
                  <w14:solidFill>
                    <w14:schemeClr w14:val="tx1"/>
                  </w14:solidFill>
                </w14:textFill>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3D78D442">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 xml:space="preserve">2、品牌：国产                   </w:t>
            </w:r>
          </w:p>
        </w:tc>
      </w:tr>
      <w:tr w14:paraId="764C8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521D7884">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142C6EB1">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30B46679">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11BE747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3、端口缓存：4.1Mbit；</w:t>
            </w:r>
          </w:p>
        </w:tc>
      </w:tr>
      <w:tr w14:paraId="0BB33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4CE4D25A">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2AE7EB36">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1306B03A">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70C26C1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4、支持自动配置功能；</w:t>
            </w:r>
          </w:p>
        </w:tc>
      </w:tr>
      <w:tr w14:paraId="1EA3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238BC2A1">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6519B704">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3A958AB5">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0A0AE60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5、支持CLI配置；</w:t>
            </w:r>
          </w:p>
        </w:tc>
      </w:tr>
      <w:tr w14:paraId="191CA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7F693338">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281B98B8">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12207C79">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2288929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6、支持端口隔离、支持CPU保护功能；</w:t>
            </w:r>
          </w:p>
        </w:tc>
      </w:tr>
      <w:tr w14:paraId="627E4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6FA3F6CA">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4DFF91D2">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5BDF79C0">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0B887AB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7、支持IPV协议、支持配置静态路由；</w:t>
            </w:r>
          </w:p>
        </w:tc>
      </w:tr>
      <w:tr w14:paraId="79D9F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644036E1">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65E0CF9B">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5D26BD3B">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4527ED9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8、大功率：18W；</w:t>
            </w:r>
          </w:p>
        </w:tc>
      </w:tr>
      <w:tr w14:paraId="2E0B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26EB9BFB">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4358EDAC">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2C85CBD8">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23FB338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9、尺寸：440*240*44mm</w:t>
            </w:r>
          </w:p>
        </w:tc>
      </w:tr>
      <w:tr w14:paraId="4C15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nil"/>
              <w:left w:val="single" w:color="000000" w:sz="8" w:space="0"/>
              <w:bottom w:val="nil"/>
              <w:right w:val="single" w:color="000000" w:sz="8" w:space="0"/>
            </w:tcBorders>
            <w:shd w:val="clear" w:color="auto" w:fill="auto"/>
            <w:noWrap/>
            <w:vAlign w:val="center"/>
          </w:tcPr>
          <w:p w14:paraId="23FE8CF0">
            <w:pPr>
              <w:jc w:val="center"/>
              <w:rPr>
                <w:rFonts w:hint="eastAsia" w:ascii="宋体" w:hAnsi="宋体" w:eastAsia="宋体" w:cs="宋体"/>
                <w:i w:val="0"/>
                <w:iCs w:val="0"/>
                <w:color w:val="000000"/>
                <w:sz w:val="16"/>
                <w:szCs w:val="16"/>
                <w:u w:val="none"/>
              </w:rPr>
            </w:pPr>
          </w:p>
        </w:tc>
        <w:tc>
          <w:tcPr>
            <w:tcW w:w="607" w:type="dxa"/>
            <w:vMerge w:val="continue"/>
            <w:tcBorders>
              <w:top w:val="nil"/>
              <w:left w:val="single" w:color="000000" w:sz="8" w:space="0"/>
              <w:bottom w:val="nil"/>
              <w:right w:val="single" w:color="000000" w:sz="8" w:space="0"/>
            </w:tcBorders>
            <w:shd w:val="clear" w:color="auto" w:fill="FFFFFF"/>
            <w:vAlign w:val="center"/>
          </w:tcPr>
          <w:p w14:paraId="578D850A">
            <w:pPr>
              <w:jc w:val="center"/>
              <w:rPr>
                <w:rFonts w:hint="eastAsia" w:ascii="宋体" w:hAnsi="宋体" w:eastAsia="宋体" w:cs="宋体"/>
                <w:i w:val="0"/>
                <w:iCs w:val="0"/>
                <w:color w:val="000000"/>
                <w:sz w:val="16"/>
                <w:szCs w:val="16"/>
                <w:u w:val="none"/>
              </w:rPr>
            </w:pPr>
          </w:p>
        </w:tc>
        <w:tc>
          <w:tcPr>
            <w:tcW w:w="616" w:type="dxa"/>
            <w:vMerge w:val="continue"/>
            <w:tcBorders>
              <w:top w:val="nil"/>
              <w:left w:val="single" w:color="000000" w:sz="8" w:space="0"/>
              <w:bottom w:val="nil"/>
              <w:right w:val="single" w:color="000000" w:sz="8" w:space="0"/>
            </w:tcBorders>
            <w:shd w:val="clear" w:color="auto" w:fill="FFFFFF"/>
            <w:vAlign w:val="center"/>
          </w:tcPr>
          <w:p w14:paraId="7BFA8D44">
            <w:pPr>
              <w:jc w:val="center"/>
              <w:rPr>
                <w:rFonts w:hint="eastAsia" w:ascii="宋体" w:hAnsi="宋体" w:eastAsia="宋体" w:cs="宋体"/>
                <w:i w:val="0"/>
                <w:iCs w:val="0"/>
                <w:color w:val="000000"/>
                <w:sz w:val="16"/>
                <w:szCs w:val="16"/>
                <w:u w:val="none"/>
              </w:rPr>
            </w:pPr>
          </w:p>
        </w:tc>
        <w:tc>
          <w:tcPr>
            <w:tcW w:w="6342" w:type="dxa"/>
            <w:tcBorders>
              <w:top w:val="nil"/>
              <w:left w:val="single" w:color="000000" w:sz="8" w:space="0"/>
              <w:bottom w:val="single" w:color="000000" w:sz="8" w:space="0"/>
              <w:right w:val="single" w:color="000000" w:sz="8" w:space="0"/>
            </w:tcBorders>
            <w:shd w:val="clear" w:color="auto" w:fill="auto"/>
            <w:vAlign w:val="center"/>
          </w:tcPr>
          <w:p w14:paraId="6BDA3D4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10、安规：符合GB4943</w:t>
            </w:r>
          </w:p>
        </w:tc>
      </w:tr>
      <w:tr w14:paraId="3320C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restart"/>
            <w:tcBorders>
              <w:top w:val="single" w:color="000000" w:sz="8" w:space="0"/>
              <w:left w:val="single" w:color="000000" w:sz="8" w:space="0"/>
              <w:bottom w:val="single" w:color="000000" w:sz="4" w:space="0"/>
              <w:right w:val="single" w:color="000000" w:sz="8" w:space="0"/>
            </w:tcBorders>
            <w:shd w:val="clear" w:color="auto" w:fill="auto"/>
            <w:noWrap/>
            <w:vAlign w:val="center"/>
          </w:tcPr>
          <w:p w14:paraId="71C61A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07" w:type="dxa"/>
            <w:vMerge w:val="restart"/>
            <w:tcBorders>
              <w:top w:val="single" w:color="000000" w:sz="8" w:space="0"/>
              <w:left w:val="single" w:color="000000" w:sz="8" w:space="0"/>
              <w:bottom w:val="single" w:color="000000" w:sz="4" w:space="0"/>
              <w:right w:val="single" w:color="000000" w:sz="8" w:space="0"/>
            </w:tcBorders>
            <w:shd w:val="clear" w:color="auto" w:fill="FFFFFF"/>
            <w:vAlign w:val="center"/>
          </w:tcPr>
          <w:p w14:paraId="0F1961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single" w:color="000000" w:sz="8" w:space="0"/>
              <w:left w:val="single" w:color="000000" w:sz="8" w:space="0"/>
              <w:bottom w:val="single" w:color="000000" w:sz="4" w:space="0"/>
              <w:right w:val="single" w:color="000000" w:sz="8" w:space="0"/>
            </w:tcBorders>
            <w:shd w:val="clear" w:color="auto" w:fill="FFFFFF"/>
            <w:vAlign w:val="center"/>
          </w:tcPr>
          <w:p w14:paraId="658E5348">
            <w:pPr>
              <w:keepNext w:val="0"/>
              <w:keepLines w:val="0"/>
              <w:widowControl/>
              <w:suppressLineNumbers w:val="0"/>
              <w:jc w:val="center"/>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数据采集器</w:t>
            </w:r>
          </w:p>
        </w:tc>
        <w:tc>
          <w:tcPr>
            <w:tcW w:w="6342" w:type="dxa"/>
            <w:tcBorders>
              <w:top w:val="nil"/>
              <w:left w:val="nil"/>
              <w:bottom w:val="single" w:color="000000" w:sz="8" w:space="0"/>
              <w:right w:val="single" w:color="000000" w:sz="8" w:space="0"/>
            </w:tcBorders>
            <w:shd w:val="clear" w:color="auto" w:fill="auto"/>
            <w:vAlign w:val="center"/>
          </w:tcPr>
          <w:p w14:paraId="5950799D">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1、芯片：国产</w:t>
            </w:r>
          </w:p>
        </w:tc>
      </w:tr>
      <w:tr w14:paraId="2BB1A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06F81F36">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1908451B">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6478A73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2018F19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2、上行：以太网通讯、下行：RS485通讯；</w:t>
            </w:r>
          </w:p>
        </w:tc>
      </w:tr>
      <w:tr w14:paraId="047E5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0AA4970F">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5A1B1085">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47768034">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52B94E4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3、电源电压： AC/DC 220V (85-265V)；</w:t>
            </w:r>
          </w:p>
        </w:tc>
      </w:tr>
      <w:tr w14:paraId="4267F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1F279CF7">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46DA7E45">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035FD023">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278117A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4、频率及功耗：50Hz(45~65Hz)，功耗≤10W；</w:t>
            </w:r>
          </w:p>
        </w:tc>
      </w:tr>
      <w:tr w14:paraId="0FFA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7923560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1738ADF9">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0A125A8C">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496CC1F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5、安全性：工频耐压:电源和通信端子间历时1min:2kV(220V设备)、1.5kV(24V设备)；</w:t>
            </w:r>
          </w:p>
        </w:tc>
      </w:tr>
      <w:tr w14:paraId="0008F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672D5FE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3AF9FFE2">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04A18E78">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3CF54D8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6、绝缘电阻:一般试验大气条件下，输入、输出端对机壳&gt;100MQ；</w:t>
            </w:r>
          </w:p>
        </w:tc>
      </w:tr>
      <w:tr w14:paraId="0E73B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298D0D50">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3CFAF252">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71D3296A">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1E2682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7、环境 工作温度:-20℃~+55C 存储运输温度:-25C~+70°℃；</w:t>
            </w:r>
          </w:p>
        </w:tc>
      </w:tr>
      <w:tr w14:paraId="412E5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56C10EB7">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5EB98810">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6C86137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4396E7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8、相对湿度:≤95%(+25℃) 海拔高度:≤2500m；</w:t>
            </w:r>
          </w:p>
        </w:tc>
      </w:tr>
      <w:tr w14:paraId="70CFD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5D652C5F">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2EE0FF45">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3DF5A1B2">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2F1503E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9、RJ45网口：至少具备2路 10/100M自适应；</w:t>
            </w:r>
          </w:p>
        </w:tc>
      </w:tr>
      <w:tr w14:paraId="08AF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0DD00504">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6556EB99">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7DC2524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3EBF36E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10、其它接口：至少具备一个 1 *RS232管理串口+1*USB2.0+SD Card标准插槽，支持存储扩展，断点续传；</w:t>
            </w:r>
          </w:p>
        </w:tc>
      </w:tr>
      <w:tr w14:paraId="2653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4" w:space="0"/>
              <w:right w:val="single" w:color="000000" w:sz="8" w:space="0"/>
            </w:tcBorders>
            <w:shd w:val="clear" w:color="auto" w:fill="auto"/>
            <w:noWrap/>
            <w:vAlign w:val="center"/>
          </w:tcPr>
          <w:p w14:paraId="40C51A31">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685830F5">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4" w:space="0"/>
              <w:right w:val="single" w:color="000000" w:sz="8" w:space="0"/>
            </w:tcBorders>
            <w:shd w:val="clear" w:color="auto" w:fill="FFFFFF"/>
            <w:vAlign w:val="center"/>
          </w:tcPr>
          <w:p w14:paraId="53A9A9EF">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5426A1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11、性能：对一卡通消费数据进行采集及上传到数据库服务器</w:t>
            </w:r>
          </w:p>
        </w:tc>
      </w:tr>
      <w:tr w14:paraId="24F7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restart"/>
            <w:tcBorders>
              <w:top w:val="single" w:color="000000" w:sz="8" w:space="0"/>
              <w:left w:val="single" w:color="000000" w:sz="8" w:space="0"/>
              <w:bottom w:val="nil"/>
              <w:right w:val="single" w:color="000000" w:sz="8" w:space="0"/>
            </w:tcBorders>
            <w:shd w:val="clear" w:color="auto" w:fill="auto"/>
            <w:noWrap/>
            <w:vAlign w:val="center"/>
          </w:tcPr>
          <w:p w14:paraId="551E94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607" w:type="dxa"/>
            <w:vMerge w:val="restart"/>
            <w:tcBorders>
              <w:top w:val="single" w:color="000000" w:sz="8" w:space="0"/>
              <w:left w:val="nil"/>
              <w:bottom w:val="nil"/>
              <w:right w:val="single" w:color="000000" w:sz="8" w:space="0"/>
            </w:tcBorders>
            <w:shd w:val="clear" w:color="auto" w:fill="FFFFFF"/>
            <w:vAlign w:val="center"/>
          </w:tcPr>
          <w:p w14:paraId="1D724E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single" w:color="000000" w:sz="8" w:space="0"/>
              <w:left w:val="nil"/>
              <w:bottom w:val="nil"/>
              <w:right w:val="single" w:color="000000" w:sz="8" w:space="0"/>
            </w:tcBorders>
            <w:shd w:val="clear" w:color="auto" w:fill="FFFFFF"/>
            <w:vAlign w:val="center"/>
          </w:tcPr>
          <w:p w14:paraId="48634C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UPS后备电源</w:t>
            </w:r>
          </w:p>
        </w:tc>
        <w:tc>
          <w:tcPr>
            <w:tcW w:w="6342" w:type="dxa"/>
            <w:tcBorders>
              <w:top w:val="nil"/>
              <w:left w:val="nil"/>
              <w:bottom w:val="single" w:color="000000" w:sz="8" w:space="0"/>
              <w:right w:val="single" w:color="000000" w:sz="8" w:space="0"/>
            </w:tcBorders>
            <w:shd w:val="clear" w:color="auto" w:fill="auto"/>
            <w:vAlign w:val="center"/>
          </w:tcPr>
          <w:p w14:paraId="311BED9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1、伏安额定值：1KVA以上；</w:t>
            </w:r>
          </w:p>
        </w:tc>
      </w:tr>
      <w:tr w14:paraId="2544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725E23B5">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6CABF24A">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6C437886">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160644F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2、瓦特额定值：800W以上；</w:t>
            </w:r>
          </w:p>
        </w:tc>
      </w:tr>
      <w:tr w14:paraId="05CBB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1F9FF2ED">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5EA8B9B5">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04546356">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105B1BB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3、电压：160Vac-276Vac；</w:t>
            </w:r>
          </w:p>
        </w:tc>
      </w:tr>
      <w:tr w14:paraId="740B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1A7AC571">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16C1A5F1">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6474B0A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14E2589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4、频率：50Hz±5%；</w:t>
            </w:r>
          </w:p>
        </w:tc>
      </w:tr>
      <w:tr w14:paraId="21CAD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0EDC8C13">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0FA295A2">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07CBC07B">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BF42F7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5、功率因素滞后：&gt;0.95；</w:t>
            </w:r>
          </w:p>
        </w:tc>
      </w:tr>
      <w:tr w14:paraId="3D9A7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5489D067">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2D4AF4F1">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4ED4B1F1">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560FF4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6、电压：220Vac～±3%；</w:t>
            </w:r>
          </w:p>
        </w:tc>
      </w:tr>
      <w:tr w14:paraId="345DD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358CED3C">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72191EC9">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5C9CC8A4">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55CFB4E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7、频率：50Hz±0.5%；</w:t>
            </w:r>
          </w:p>
        </w:tc>
      </w:tr>
      <w:tr w14:paraId="03E6D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5006BA0C">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5BF0AD71">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41B938F9">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69F7EFE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8、波形与失真：正弦波THD＜3%；</w:t>
            </w:r>
          </w:p>
        </w:tc>
      </w:tr>
      <w:tr w14:paraId="50301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06956B7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508C72E7">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16C0B7D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9A7B65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9、动态响应：满载±3%，稳定时间为20毫秒；</w:t>
            </w:r>
          </w:p>
        </w:tc>
      </w:tr>
      <w:tr w14:paraId="0709E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37B5B00D">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292BE4DC">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5575697D">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D770C0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10、峰值比：&gt;3：1；</w:t>
            </w:r>
          </w:p>
        </w:tc>
      </w:tr>
      <w:tr w14:paraId="0D7D8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6D41393D">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40D909AC">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3E326320">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94BC99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11、系统效率(满载)：正常工作状态93%；逆变(电池)工作状态96%；</w:t>
            </w:r>
          </w:p>
        </w:tc>
      </w:tr>
      <w:tr w14:paraId="0C42F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79A8324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0CC88CD4">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7757A99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390DC5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12、外接山特电池：12V、100AH  3块；</w:t>
            </w:r>
          </w:p>
        </w:tc>
      </w:tr>
      <w:tr w14:paraId="68320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496866C5">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6145D858">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2FE60A84">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4BFE36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13、供电时间(满/半载)：120/240分钟以上；</w:t>
            </w:r>
          </w:p>
        </w:tc>
      </w:tr>
      <w:tr w14:paraId="49D1B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1A5A4D90">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4F7210B8">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01290CDE">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669087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14、接口：RS232串行接口；</w:t>
            </w:r>
          </w:p>
        </w:tc>
      </w:tr>
      <w:tr w14:paraId="6BB2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5ED82A71">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35BB8BDE">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1B7D2310">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1EB492D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15、电池低电压 短路、超载、过稳保护；</w:t>
            </w:r>
          </w:p>
        </w:tc>
      </w:tr>
      <w:tr w14:paraId="2FF3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0D6926F8">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604444F7">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3A813722">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14CCC6A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16、尺寸(mm)195×455×330；</w:t>
            </w:r>
          </w:p>
        </w:tc>
      </w:tr>
      <w:tr w14:paraId="7451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4A260D23">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53242CE0">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01BD01AC">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39DA8F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17、重量Kg()：34/16；</w:t>
            </w:r>
          </w:p>
        </w:tc>
      </w:tr>
      <w:tr w14:paraId="7327B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0CB62C44">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nil"/>
              <w:bottom w:val="nil"/>
              <w:right w:val="single" w:color="000000" w:sz="8" w:space="0"/>
            </w:tcBorders>
            <w:shd w:val="clear" w:color="auto" w:fill="FFFFFF"/>
            <w:vAlign w:val="center"/>
          </w:tcPr>
          <w:p w14:paraId="2544D8B1">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nil"/>
              <w:bottom w:val="nil"/>
              <w:right w:val="single" w:color="000000" w:sz="8" w:space="0"/>
            </w:tcBorders>
            <w:shd w:val="clear" w:color="auto" w:fill="FFFFFF"/>
            <w:vAlign w:val="center"/>
          </w:tcPr>
          <w:p w14:paraId="126837DD">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2449BDD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18、噪音(一米内)：＜50dB；</w:t>
            </w:r>
          </w:p>
        </w:tc>
      </w:tr>
      <w:tr w14:paraId="4337B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restart"/>
            <w:tcBorders>
              <w:top w:val="single" w:color="000000" w:sz="8" w:space="0"/>
              <w:left w:val="single" w:color="000000" w:sz="8" w:space="0"/>
              <w:bottom w:val="nil"/>
              <w:right w:val="single" w:color="000000" w:sz="8" w:space="0"/>
            </w:tcBorders>
            <w:shd w:val="clear" w:color="auto" w:fill="auto"/>
            <w:noWrap/>
            <w:vAlign w:val="center"/>
          </w:tcPr>
          <w:p w14:paraId="5D9114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607" w:type="dxa"/>
            <w:vMerge w:val="restart"/>
            <w:tcBorders>
              <w:top w:val="single" w:color="000000" w:sz="8" w:space="0"/>
              <w:left w:val="single" w:color="000000" w:sz="8" w:space="0"/>
              <w:bottom w:val="nil"/>
              <w:right w:val="single" w:color="000000" w:sz="8" w:space="0"/>
            </w:tcBorders>
            <w:shd w:val="clear" w:color="auto" w:fill="FFFFFF"/>
            <w:vAlign w:val="center"/>
          </w:tcPr>
          <w:p w14:paraId="11F168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single" w:color="000000" w:sz="8" w:space="0"/>
              <w:left w:val="single" w:color="000000" w:sz="8" w:space="0"/>
              <w:bottom w:val="nil"/>
              <w:right w:val="single" w:color="000000" w:sz="8" w:space="0"/>
            </w:tcBorders>
            <w:shd w:val="clear" w:color="auto" w:fill="FFFFFF"/>
            <w:vAlign w:val="center"/>
          </w:tcPr>
          <w:p w14:paraId="34C16D62">
            <w:pPr>
              <w:keepNext w:val="0"/>
              <w:keepLines w:val="0"/>
              <w:widowControl/>
              <w:suppressLineNumbers w:val="0"/>
              <w:jc w:val="center"/>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自助服务终端机</w:t>
            </w:r>
          </w:p>
        </w:tc>
        <w:tc>
          <w:tcPr>
            <w:tcW w:w="6342" w:type="dxa"/>
            <w:tcBorders>
              <w:top w:val="nil"/>
              <w:left w:val="nil"/>
              <w:bottom w:val="single" w:color="000000" w:sz="8" w:space="0"/>
              <w:right w:val="single" w:color="000000" w:sz="8" w:space="0"/>
            </w:tcBorders>
            <w:shd w:val="clear" w:color="auto" w:fill="auto"/>
            <w:vAlign w:val="center"/>
          </w:tcPr>
          <w:p w14:paraId="6D0CECEB">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1、背光类型/Back light Unit：LED</w:t>
            </w:r>
          </w:p>
        </w:tc>
      </w:tr>
      <w:tr w14:paraId="154E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41D0ECAB">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4044B253">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5E9495B1">
            <w:pPr>
              <w:jc w:val="center"/>
              <w:rPr>
                <w:rFonts w:hint="eastAsia" w:ascii="宋体" w:hAnsi="宋体" w:eastAsia="宋体" w:cs="宋体"/>
                <w:i w:val="0"/>
                <w:iCs w:val="0"/>
                <w:color w:val="000000" w:themeColor="text1"/>
                <w:sz w:val="16"/>
                <w:szCs w:val="16"/>
                <w:u w:val="none"/>
                <w14:textFill>
                  <w14:solidFill>
                    <w14:schemeClr w14:val="tx1"/>
                  </w14:solidFill>
                </w14:textFill>
              </w:rPr>
            </w:pPr>
          </w:p>
        </w:tc>
        <w:tc>
          <w:tcPr>
            <w:tcW w:w="6342" w:type="dxa"/>
            <w:tcBorders>
              <w:top w:val="nil"/>
              <w:left w:val="nil"/>
              <w:bottom w:val="single" w:color="000000" w:sz="8" w:space="0"/>
              <w:right w:val="single" w:color="000000" w:sz="8" w:space="0"/>
            </w:tcBorders>
            <w:shd w:val="clear" w:color="auto" w:fill="auto"/>
            <w:vAlign w:val="center"/>
          </w:tcPr>
          <w:p w14:paraId="10E6FC4C">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2、屏幕尺寸/Panel Size (inch)：21寸以上</w:t>
            </w:r>
          </w:p>
        </w:tc>
      </w:tr>
      <w:tr w14:paraId="5363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52F25A18">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467BC941">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409BE51F">
            <w:pPr>
              <w:jc w:val="center"/>
              <w:rPr>
                <w:rFonts w:hint="eastAsia" w:ascii="宋体" w:hAnsi="宋体" w:eastAsia="宋体" w:cs="宋体"/>
                <w:i w:val="0"/>
                <w:iCs w:val="0"/>
                <w:color w:val="000000" w:themeColor="text1"/>
                <w:sz w:val="16"/>
                <w:szCs w:val="16"/>
                <w:u w:val="none"/>
                <w14:textFill>
                  <w14:solidFill>
                    <w14:schemeClr w14:val="tx1"/>
                  </w14:solidFill>
                </w14:textFill>
              </w:rPr>
            </w:pPr>
          </w:p>
        </w:tc>
        <w:tc>
          <w:tcPr>
            <w:tcW w:w="6342" w:type="dxa"/>
            <w:tcBorders>
              <w:top w:val="nil"/>
              <w:left w:val="nil"/>
              <w:bottom w:val="single" w:color="000000" w:sz="8" w:space="0"/>
              <w:right w:val="single" w:color="000000" w:sz="8" w:space="0"/>
            </w:tcBorders>
            <w:shd w:val="clear" w:color="auto" w:fill="auto"/>
            <w:vAlign w:val="center"/>
          </w:tcPr>
          <w:p w14:paraId="018792B9">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3、芯片：国产</w:t>
            </w:r>
          </w:p>
        </w:tc>
      </w:tr>
      <w:tr w14:paraId="75986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3238877D">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4E92503A">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2EDFBBCF">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411A8BC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4、分辨率/Display Resolution：不低于1920*1080</w:t>
            </w:r>
          </w:p>
        </w:tc>
      </w:tr>
      <w:tr w14:paraId="31538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30570B66">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68F5917F">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6335F593">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5470E16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5、系统兼容：Windows10/11、统信UOS、麒麟国产操作系统</w:t>
            </w:r>
          </w:p>
        </w:tc>
      </w:tr>
      <w:tr w14:paraId="71A98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3F9995E4">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317FDB39">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22ED2111">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3EABE95F">
            <w:pPr>
              <w:keepNext w:val="0"/>
              <w:keepLines w:val="0"/>
              <w:widowControl/>
              <w:suppressLineNumbers w:val="0"/>
              <w:jc w:val="left"/>
              <w:textAlignment w:val="center"/>
              <w:rPr>
                <w:rFonts w:hint="default" w:ascii="宋体" w:hAnsi="宋体" w:eastAsia="宋体" w:cs="宋体"/>
                <w:i w:val="0"/>
                <w:iCs w:val="0"/>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6、触摸屏：红外/电容十点触控，钢化防爆玻璃，防眩光；触摸响应＜10ms</w:t>
            </w:r>
          </w:p>
        </w:tc>
      </w:tr>
      <w:tr w14:paraId="2CCA3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5AFBDE33">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494C8ABB">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616A04C8">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47BD372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7、CPU：Cortex-A17四核</w:t>
            </w:r>
            <w:r>
              <w:rPr>
                <w:rStyle w:val="11"/>
                <w:rFonts w:hint="default"/>
                <w:color w:val="000000" w:themeColor="text1"/>
                <w:sz w:val="16"/>
                <w:szCs w:val="16"/>
                <w:lang w:bidi="ar"/>
                <w14:textFill>
                  <w14:solidFill>
                    <w14:schemeClr w14:val="tx1"/>
                  </w14:solidFill>
                </w14:textFill>
              </w:rPr>
              <w:t>(不低于四核</w:t>
            </w:r>
            <w:r>
              <w:rPr>
                <w:rStyle w:val="12"/>
                <w:rFonts w:hint="default"/>
                <w:color w:val="000000" w:themeColor="text1"/>
                <w:sz w:val="16"/>
                <w:szCs w:val="16"/>
                <w:lang w:bidi="ar"/>
                <w14:textFill>
                  <w14:solidFill>
                    <w14:schemeClr w14:val="tx1"/>
                  </w14:solidFill>
                </w14:textFill>
              </w:rPr>
              <w:t>或等效计算能力)</w:t>
            </w:r>
            <w:r>
              <w:rPr>
                <w:rFonts w:hint="eastAsia" w:ascii="宋体" w:hAnsi="宋体" w:eastAsia="宋体" w:cs="宋体"/>
                <w:i w:val="0"/>
                <w:iCs w:val="0"/>
                <w:color w:val="000000"/>
                <w:kern w:val="0"/>
                <w:sz w:val="16"/>
                <w:szCs w:val="16"/>
                <w:u w:val="none"/>
                <w:lang w:val="en-US" w:eastAsia="zh-CN" w:bidi="ar"/>
              </w:rPr>
              <w:t>，</w:t>
            </w:r>
            <w:r>
              <w:rPr>
                <w:rStyle w:val="12"/>
                <w:rFonts w:hint="default"/>
                <w:color w:val="000000" w:themeColor="text1"/>
                <w:sz w:val="16"/>
                <w:szCs w:val="16"/>
                <w:lang w:bidi="ar"/>
                <w14:textFill>
                  <w14:solidFill>
                    <w14:schemeClr w14:val="tx1"/>
                  </w14:solidFill>
                </w14:textFill>
              </w:rPr>
              <w:t>主频不低于</w:t>
            </w:r>
            <w:r>
              <w:rPr>
                <w:rFonts w:hint="eastAsia" w:ascii="宋体" w:hAnsi="宋体" w:eastAsia="宋体" w:cs="宋体"/>
                <w:i w:val="0"/>
                <w:iCs w:val="0"/>
                <w:color w:val="000000"/>
                <w:kern w:val="0"/>
                <w:sz w:val="16"/>
                <w:szCs w:val="16"/>
                <w:u w:val="none"/>
                <w:lang w:val="en-US" w:eastAsia="zh-CN" w:bidi="ar"/>
              </w:rPr>
              <w:t>1.8GHz</w:t>
            </w:r>
          </w:p>
        </w:tc>
      </w:tr>
      <w:tr w14:paraId="1BE01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501F35D9">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38A6807E">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7277E9A6">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6DEB4A7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8、RAM：</w:t>
            </w:r>
            <w:r>
              <w:rPr>
                <w:rStyle w:val="12"/>
                <w:rFonts w:hint="default"/>
                <w:color w:val="000000" w:themeColor="text1"/>
                <w:sz w:val="16"/>
                <w:szCs w:val="16"/>
                <w:lang w:bidi="ar"/>
                <w14:textFill>
                  <w14:solidFill>
                    <w14:schemeClr w14:val="tx1"/>
                  </w14:solidFill>
                </w14:textFill>
              </w:rPr>
              <w:t>不低于</w:t>
            </w:r>
            <w:r>
              <w:rPr>
                <w:rFonts w:hint="eastAsia" w:ascii="宋体" w:hAnsi="宋体" w:eastAsia="宋体" w:cs="宋体"/>
                <w:i w:val="0"/>
                <w:iCs w:val="0"/>
                <w:color w:val="000000"/>
                <w:kern w:val="0"/>
                <w:sz w:val="16"/>
                <w:szCs w:val="16"/>
                <w:u w:val="none"/>
                <w:lang w:val="en-US" w:eastAsia="zh-CN" w:bidi="ar"/>
              </w:rPr>
              <w:t>2GB</w:t>
            </w:r>
          </w:p>
        </w:tc>
      </w:tr>
      <w:tr w14:paraId="09702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7926262C">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3BC1D36D">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4D4580FF">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7FA23FC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9、ROM：</w:t>
            </w:r>
            <w:r>
              <w:rPr>
                <w:rStyle w:val="12"/>
                <w:rFonts w:hint="default"/>
                <w:color w:val="000000" w:themeColor="text1"/>
                <w:sz w:val="16"/>
                <w:szCs w:val="16"/>
                <w:lang w:bidi="ar"/>
                <w14:textFill>
                  <w14:solidFill>
                    <w14:schemeClr w14:val="tx1"/>
                  </w14:solidFill>
                </w14:textFill>
              </w:rPr>
              <w:t>不低于</w:t>
            </w:r>
            <w:r>
              <w:rPr>
                <w:rFonts w:hint="eastAsia" w:ascii="宋体" w:hAnsi="宋体" w:eastAsia="宋体" w:cs="宋体"/>
                <w:i w:val="0"/>
                <w:iCs w:val="0"/>
                <w:color w:val="000000"/>
                <w:kern w:val="0"/>
                <w:sz w:val="16"/>
                <w:szCs w:val="16"/>
                <w:u w:val="none"/>
                <w:lang w:val="en-US" w:eastAsia="zh-CN" w:bidi="ar"/>
              </w:rPr>
              <w:t>16GB EMMC</w:t>
            </w:r>
          </w:p>
        </w:tc>
      </w:tr>
      <w:tr w14:paraId="3C298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7297AAA3">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303300DE">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61571188">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2A42D91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10、至少具备一个RJ45 以太网接口：1（10M/100M）</w:t>
            </w:r>
          </w:p>
        </w:tc>
      </w:tr>
      <w:tr w14:paraId="42E3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6ED99976">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11851507">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2D4E974A">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6BF9F70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11、WIFI：内置 2.4GHz WIFI 天线</w:t>
            </w:r>
          </w:p>
        </w:tc>
      </w:tr>
      <w:tr w14:paraId="398A3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nil"/>
              <w:right w:val="single" w:color="000000" w:sz="8" w:space="0"/>
            </w:tcBorders>
            <w:shd w:val="clear" w:color="auto" w:fill="auto"/>
            <w:noWrap/>
            <w:vAlign w:val="center"/>
          </w:tcPr>
          <w:p w14:paraId="05BF6418">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nil"/>
              <w:right w:val="single" w:color="000000" w:sz="8" w:space="0"/>
            </w:tcBorders>
            <w:shd w:val="clear" w:color="auto" w:fill="FFFFFF"/>
            <w:vAlign w:val="center"/>
          </w:tcPr>
          <w:p w14:paraId="553F605F">
            <w:pPr>
              <w:jc w:val="center"/>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nil"/>
              <w:right w:val="single" w:color="000000" w:sz="8" w:space="0"/>
            </w:tcBorders>
            <w:shd w:val="clear" w:color="auto" w:fill="FFFFFF"/>
            <w:vAlign w:val="center"/>
          </w:tcPr>
          <w:p w14:paraId="45D9A9C9">
            <w:pPr>
              <w:jc w:val="center"/>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3CF8053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12、支持卡类型：A-S50/S70/ULTRALIGHT卡/B-14443A/D-S50卡</w:t>
            </w:r>
          </w:p>
        </w:tc>
      </w:tr>
      <w:tr w14:paraId="4C23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F9AD8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60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3D089D4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硬件</w:t>
            </w:r>
          </w:p>
        </w:tc>
        <w:tc>
          <w:tcPr>
            <w:tcW w:w="61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D3E603D">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热水刷卡机（860终端）</w:t>
            </w:r>
          </w:p>
        </w:tc>
        <w:tc>
          <w:tcPr>
            <w:tcW w:w="6342" w:type="dxa"/>
            <w:tcBorders>
              <w:top w:val="nil"/>
              <w:left w:val="nil"/>
              <w:bottom w:val="single" w:color="000000" w:sz="8" w:space="0"/>
              <w:right w:val="single" w:color="000000" w:sz="8" w:space="0"/>
            </w:tcBorders>
            <w:shd w:val="clear" w:color="auto" w:fill="auto"/>
            <w:vAlign w:val="center"/>
          </w:tcPr>
          <w:p w14:paraId="20D4DC8E">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1、为一体计量型热水控制器。</w:t>
            </w:r>
          </w:p>
        </w:tc>
      </w:tr>
      <w:tr w14:paraId="430D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62878B">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3137805">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3616189">
            <w:pPr>
              <w:jc w:val="left"/>
              <w:rPr>
                <w:rFonts w:hint="eastAsia" w:ascii="宋体" w:hAnsi="宋体" w:eastAsia="宋体" w:cs="宋体"/>
                <w:i w:val="0"/>
                <w:iCs w:val="0"/>
                <w:color w:val="000000" w:themeColor="text1"/>
                <w:sz w:val="16"/>
                <w:szCs w:val="16"/>
                <w:u w:val="none"/>
                <w14:textFill>
                  <w14:solidFill>
                    <w14:schemeClr w14:val="tx1"/>
                  </w14:solidFill>
                </w14:textFill>
              </w:rPr>
            </w:pPr>
          </w:p>
        </w:tc>
        <w:tc>
          <w:tcPr>
            <w:tcW w:w="6342" w:type="dxa"/>
            <w:tcBorders>
              <w:top w:val="nil"/>
              <w:left w:val="nil"/>
              <w:bottom w:val="single" w:color="000000" w:sz="8" w:space="0"/>
              <w:right w:val="single" w:color="000000" w:sz="8" w:space="0"/>
            </w:tcBorders>
            <w:shd w:val="clear" w:color="auto" w:fill="auto"/>
            <w:vAlign w:val="center"/>
          </w:tcPr>
          <w:p w14:paraId="73350116">
            <w:pPr>
              <w:keepNext w:val="0"/>
              <w:keepLines w:val="0"/>
              <w:widowControl/>
              <w:suppressLineNumbers w:val="0"/>
              <w:jc w:val="left"/>
              <w:textAlignment w:val="center"/>
              <w:rPr>
                <w:rFonts w:hint="eastAsia" w:ascii="宋体" w:hAnsi="宋体" w:eastAsia="宋体" w:cs="宋体"/>
                <w:i w:val="0"/>
                <w:iCs w:val="0"/>
                <w:color w:val="000000" w:themeColor="text1"/>
                <w:sz w:val="16"/>
                <w:szCs w:val="16"/>
                <w:u w:val="none"/>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2、芯片：国产</w:t>
            </w:r>
          </w:p>
        </w:tc>
      </w:tr>
      <w:tr w14:paraId="65F3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1978EAC">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95B1961">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7F4FC19">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28107B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3、通讯方式: 采用蓝牙技术和4G技术传输数据，双通道通讯，保证设备24小时在线，水控机无线联网。</w:t>
            </w:r>
          </w:p>
        </w:tc>
      </w:tr>
      <w:tr w14:paraId="0330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4C2F33E">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4EC678D">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0DE634E">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512C4F6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4、计量标准：计量收费，控制器、流量计、阀门一体化封装，口径为DN20。</w:t>
            </w:r>
          </w:p>
        </w:tc>
      </w:tr>
      <w:tr w14:paraId="52B24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430E8D4">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8449534">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54334B3">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572FDC8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5、读卡类型:符合ISO/ICE 14443A/B标准，Mifare1卡/CPU卡/金融IC卡。</w:t>
            </w:r>
          </w:p>
        </w:tc>
      </w:tr>
      <w:tr w14:paraId="697FF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FD2BA2">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EF6D16A">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CEE2688">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239D5C8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6、工作电压：工作电压:DC12V±5%。</w:t>
            </w:r>
          </w:p>
        </w:tc>
      </w:tr>
      <w:tr w14:paraId="1310B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41F322">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831BBE7">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0816B2B">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38536F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7、显示：液晶LCD带背光显示，待机状态下显示二维码，使用过程中显示当次使用金额、使用水量、阀开、阀关等提示信息。</w:t>
            </w:r>
          </w:p>
        </w:tc>
      </w:tr>
      <w:tr w14:paraId="2B09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0E05B0">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BB102B4">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9BAB07A">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0853427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8、支持防磁攻击防窃水功能，遇到磁铁吸附直接关阀，并结束当次订单。</w:t>
            </w:r>
          </w:p>
        </w:tc>
      </w:tr>
      <w:tr w14:paraId="793E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992283D">
            <w:pPr>
              <w:jc w:val="center"/>
              <w:rPr>
                <w:rFonts w:hint="eastAsia" w:ascii="宋体" w:hAnsi="宋体" w:eastAsia="宋体" w:cs="宋体"/>
                <w:i w:val="0"/>
                <w:iCs w:val="0"/>
                <w:color w:val="000000"/>
                <w:sz w:val="16"/>
                <w:szCs w:val="16"/>
                <w:u w:val="none"/>
              </w:rPr>
            </w:pPr>
          </w:p>
        </w:tc>
        <w:tc>
          <w:tcPr>
            <w:tcW w:w="60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F34D6B6">
            <w:pPr>
              <w:jc w:val="left"/>
              <w:rPr>
                <w:rFonts w:hint="eastAsia" w:ascii="宋体" w:hAnsi="宋体" w:eastAsia="宋体" w:cs="宋体"/>
                <w:i w:val="0"/>
                <w:iCs w:val="0"/>
                <w:color w:val="000000"/>
                <w:sz w:val="16"/>
                <w:szCs w:val="16"/>
                <w:u w:val="none"/>
              </w:rPr>
            </w:pPr>
          </w:p>
        </w:tc>
        <w:tc>
          <w:tcPr>
            <w:tcW w:w="61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37B237B">
            <w:pPr>
              <w:jc w:val="left"/>
              <w:rPr>
                <w:rFonts w:hint="eastAsia" w:ascii="宋体" w:hAnsi="宋体" w:eastAsia="宋体" w:cs="宋体"/>
                <w:i w:val="0"/>
                <w:iCs w:val="0"/>
                <w:color w:val="000000"/>
                <w:sz w:val="16"/>
                <w:szCs w:val="16"/>
                <w:u w:val="none"/>
              </w:rPr>
            </w:pPr>
          </w:p>
        </w:tc>
        <w:tc>
          <w:tcPr>
            <w:tcW w:w="6342" w:type="dxa"/>
            <w:tcBorders>
              <w:top w:val="nil"/>
              <w:left w:val="nil"/>
              <w:bottom w:val="single" w:color="000000" w:sz="8" w:space="0"/>
              <w:right w:val="single" w:color="000000" w:sz="8" w:space="0"/>
            </w:tcBorders>
            <w:shd w:val="clear" w:color="auto" w:fill="auto"/>
            <w:vAlign w:val="center"/>
          </w:tcPr>
          <w:p w14:paraId="1D6E5379">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9、刷卡模式下：读卡类型:符合ISO/ICE 14443A/B标准，Mifare1卡/CPU卡/金融IC卡支持限制M1卡使用或完全限制卡片使用，避免卡片被复制。</w:t>
            </w:r>
          </w:p>
          <w:p w14:paraId="75E65C2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r>
    </w:tbl>
    <w:p w14:paraId="7618739C">
      <w:pPr>
        <w:pStyle w:val="5"/>
        <w:ind w:firstLine="643"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四、质量要求</w:t>
      </w:r>
    </w:p>
    <w:p w14:paraId="157DF080">
      <w:pPr>
        <w:spacing w:line="360" w:lineRule="auto"/>
        <w:ind w:firstLine="640" w:firstLineChars="200"/>
        <w:rPr>
          <w:rFonts w:hint="eastAsia" w:ascii="彩虹粗仿宋" w:hAnsi="彩虹粗仿宋" w:eastAsia="彩虹粗仿宋" w:cs="彩虹粗仿宋"/>
          <w:color w:val="EE822F" w:themeColor="accent2"/>
          <w:sz w:val="32"/>
          <w:szCs w:val="32"/>
          <w:highlight w:val="none"/>
          <w:lang w:eastAsia="zh-CN"/>
          <w14:textFill>
            <w14:solidFill>
              <w14:schemeClr w14:val="accent2"/>
            </w14:solidFill>
          </w14:textFill>
        </w:rPr>
      </w:pPr>
      <w:r>
        <w:rPr>
          <w:rFonts w:hint="eastAsia" w:ascii="彩虹粗仿宋" w:hAnsi="彩虹粗仿宋" w:eastAsia="彩虹粗仿宋" w:cs="彩虹粗仿宋"/>
          <w:color w:val="EE822F" w:themeColor="accent2"/>
          <w:sz w:val="32"/>
          <w:szCs w:val="32"/>
          <w:highlight w:val="none"/>
          <w14:textFill>
            <w14:solidFill>
              <w14:schemeClr w14:val="accent2"/>
            </w14:solidFill>
          </w14:textFill>
        </w:rPr>
        <w:t>1、学校原一卡通系统平台为开放式平台，提供标准化API接口，不锁定单一硬件供应商，具备相应开发能力的设备供应商可完成设备接入，设备供应商对接开发、调试、改造所产生的费用由投标供应商自理</w:t>
      </w:r>
      <w:r>
        <w:rPr>
          <w:rFonts w:hint="eastAsia" w:ascii="彩虹粗仿宋" w:hAnsi="彩虹粗仿宋" w:eastAsia="彩虹粗仿宋" w:cs="彩虹粗仿宋"/>
          <w:color w:val="EE822F" w:themeColor="accent2"/>
          <w:sz w:val="32"/>
          <w:szCs w:val="32"/>
          <w:highlight w:val="none"/>
          <w:lang w:eastAsia="zh-CN"/>
          <w14:textFill>
            <w14:solidFill>
              <w14:schemeClr w14:val="accent2"/>
            </w14:solidFill>
          </w14:textFill>
        </w:rPr>
        <w:t>。</w:t>
      </w:r>
    </w:p>
    <w:p w14:paraId="2FECA5E8">
      <w:pPr>
        <w:spacing w:line="360" w:lineRule="auto"/>
        <w:ind w:firstLine="640" w:firstLineChars="200"/>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pP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2、</w:t>
      </w:r>
      <w:r>
        <w:rPr>
          <w:rFonts w:hint="eastAsia" w:ascii="彩虹粗仿宋" w:hAnsi="彩虹粗仿宋" w:eastAsia="彩虹粗仿宋" w:cs="彩虹粗仿宋"/>
          <w:color w:val="000000" w:themeColor="text1"/>
          <w:sz w:val="32"/>
          <w:szCs w:val="32"/>
          <w14:textFill>
            <w14:solidFill>
              <w14:schemeClr w14:val="tx1"/>
            </w14:solidFill>
          </w14:textFill>
        </w:rPr>
        <w:t>供应商提供的硬件产品应当具备</w:t>
      </w: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采购需求</w:t>
      </w:r>
      <w:r>
        <w:rPr>
          <w:rFonts w:hint="eastAsia" w:ascii="彩虹粗仿宋" w:hAnsi="彩虹粗仿宋" w:eastAsia="彩虹粗仿宋" w:cs="彩虹粗仿宋"/>
          <w:color w:val="000000" w:themeColor="text1"/>
          <w:sz w:val="32"/>
          <w:szCs w:val="32"/>
          <w14:textFill>
            <w14:solidFill>
              <w14:schemeClr w14:val="tx1"/>
            </w14:solidFill>
          </w14:textFill>
        </w:rPr>
        <w:t>规定的约定功能；如在</w:t>
      </w: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产品说明</w:t>
      </w:r>
      <w:r>
        <w:rPr>
          <w:rFonts w:hint="eastAsia" w:ascii="彩虹粗仿宋" w:hAnsi="彩虹粗仿宋" w:eastAsia="彩虹粗仿宋" w:cs="彩虹粗仿宋"/>
          <w:color w:val="000000" w:themeColor="text1"/>
          <w:sz w:val="32"/>
          <w:szCs w:val="32"/>
          <w14:textFill>
            <w14:solidFill>
              <w14:schemeClr w14:val="tx1"/>
            </w14:solidFill>
          </w14:textFill>
        </w:rPr>
        <w:t>或其他附件中已指明其他质量或功能要求的，则硬件产品还应符合该质量或功能要求。</w:t>
      </w: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同时具备以下几点要求：</w:t>
      </w:r>
    </w:p>
    <w:p w14:paraId="0DA14409">
      <w:pPr>
        <w:spacing w:line="360" w:lineRule="auto"/>
        <w:ind w:firstLine="640" w:firstLineChars="200"/>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pP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A、</w:t>
      </w:r>
      <w:r>
        <w:rPr>
          <w:rFonts w:hint="eastAsia" w:ascii="彩虹粗仿宋" w:hAnsi="彩虹粗仿宋" w:eastAsia="彩虹粗仿宋" w:cs="彩虹粗仿宋"/>
          <w:color w:val="000000" w:themeColor="text1"/>
          <w:sz w:val="32"/>
          <w:szCs w:val="32"/>
          <w14:textFill>
            <w14:solidFill>
              <w14:schemeClr w14:val="tx1"/>
            </w14:solidFill>
          </w14:textFill>
        </w:rPr>
        <w:t>供应商提供</w:t>
      </w: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的饭堂消费机</w:t>
      </w:r>
      <w: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t>设备上刷卡须与学校现有一卡通系统使用的卡片保持同一张介质，符合学校原有系统校园卡卡结构和卡规范，投标人不得重新发新卡换旧卡、擅自附加、修改卡规划和卡结构。此次采购的饭堂消费刷卡机必须与学校正在使用的一卡通系统进行无缝对接。在饭堂消费刷卡机设备上传人脸或者人脸支付必须使用学校正在使用的一卡通系统人脸库，在原有本地服务器及原有数据库、原有软件平台上进行管理，投标人不能另外新建或改变现有系统人脸库。</w:t>
      </w:r>
    </w:p>
    <w:p w14:paraId="2A6BF702">
      <w:pPr>
        <w:pStyle w:val="6"/>
        <w:numPr>
          <w:ilvl w:val="0"/>
          <w:numId w:val="2"/>
        </w:numPr>
        <w:ind w:left="560" w:leftChars="0" w:firstLine="0" w:firstLineChars="0"/>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pPr>
      <w: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t>此次采购的多媒体自助服务终端机必须与学校正在</w:t>
      </w:r>
    </w:p>
    <w:p w14:paraId="309D6661">
      <w:pPr>
        <w:pStyle w:val="6"/>
        <w:numPr>
          <w:ilvl w:val="0"/>
          <w:numId w:val="0"/>
        </w:numP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pPr>
      <w: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t>使用的一卡通系统进行无缝对接。</w:t>
      </w:r>
    </w:p>
    <w:p w14:paraId="4FA6C792">
      <w:pPr>
        <w:numPr>
          <w:ilvl w:val="0"/>
          <w:numId w:val="2"/>
        </w:numPr>
        <w:ind w:left="560" w:leftChars="0" w:firstLine="0" w:firstLineChars="0"/>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pPr>
      <w: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t>此次采购的热水刷卡机在设备上刷卡须与学校现有</w:t>
      </w:r>
    </w:p>
    <w:p w14:paraId="2248F8E7">
      <w:pPr>
        <w:numPr>
          <w:ilvl w:val="0"/>
          <w:numId w:val="0"/>
        </w:numP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pPr>
      <w:r>
        <w:rPr>
          <w:rFonts w:hint="eastAsia" w:ascii="彩虹粗仿宋" w:hAnsi="彩虹粗仿宋" w:eastAsia="彩虹粗仿宋" w:cs="彩虹粗仿宋"/>
          <w:i w:val="0"/>
          <w:iCs w:val="0"/>
          <w:color w:val="000000" w:themeColor="text1"/>
          <w:kern w:val="0"/>
          <w:sz w:val="32"/>
          <w:szCs w:val="32"/>
          <w:u w:val="none"/>
          <w:lang w:val="en-US" w:eastAsia="zh-CN" w:bidi="ar"/>
          <w14:textFill>
            <w14:solidFill>
              <w14:schemeClr w14:val="tx1"/>
            </w14:solidFill>
          </w14:textFill>
        </w:rPr>
        <w:t>一卡通系统使用的卡保持同一张介质和同一个钱包，不需要进行热水钱包圈存或者转账，直接扣一卡通的账户钱包。符合学校原有系统校园卡卡结构和卡规范，投标人不得重新发新卡换旧卡、擅自附加、修改卡规划、卡扇区和卡结构。同时此次采购的智能水控消费机必须与学校正在使用的一卡通系统进行无缝对接。</w:t>
      </w:r>
    </w:p>
    <w:p w14:paraId="10EB05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640" w:firstLineChars="200"/>
        <w:textAlignment w:val="auto"/>
        <w:rPr>
          <w:rFonts w:hint="eastAsia" w:ascii="彩虹粗仿宋" w:hAnsi="彩虹粗仿宋" w:eastAsia="彩虹粗仿宋" w:cs="彩虹粗仿宋"/>
          <w:color w:val="EE822F" w:themeColor="accent2"/>
          <w:sz w:val="32"/>
          <w:szCs w:val="32"/>
          <w:highlight w:val="none"/>
          <w:lang w:val="en-US" w:eastAsia="zh-CN"/>
          <w14:textFill>
            <w14:solidFill>
              <w14:schemeClr w14:val="accent2"/>
            </w14:solidFill>
          </w14:textFill>
        </w:rPr>
      </w:pPr>
      <w:r>
        <w:rPr>
          <w:rFonts w:hint="eastAsia" w:ascii="彩虹粗仿宋" w:hAnsi="彩虹粗仿宋" w:eastAsia="彩虹粗仿宋" w:cs="彩虹粗仿宋"/>
          <w:color w:val="EE822F" w:themeColor="accent2"/>
          <w:sz w:val="32"/>
          <w:szCs w:val="32"/>
          <w:highlight w:val="none"/>
          <w:lang w:val="en-US" w:eastAsia="zh-CN"/>
          <w14:textFill>
            <w14:solidFill>
              <w14:schemeClr w14:val="accent2"/>
            </w14:solidFill>
          </w14:textFill>
        </w:rPr>
        <w:t>D、供应商所提供的硬件设备须已经完成与总行建行生活智慧食堂系统对接，硬件设备须支持学校现有的校园一卡通系统、建行生活智慧食堂系统双系统能同时在线使用，具备两套系统业务并行运行能力，统一平台管理，无需切换设备即可分别完成刷脸刷卡消费。</w:t>
      </w:r>
    </w:p>
    <w:p w14:paraId="48A0345F">
      <w:pPr>
        <w:pStyle w:val="2"/>
        <w:numPr>
          <w:ilvl w:val="0"/>
          <w:numId w:val="0"/>
        </w:numPr>
        <w:rPr>
          <w:rFonts w:hint="eastAsia" w:ascii="彩虹粗仿宋" w:hAnsi="彩虹粗仿宋" w:eastAsia="彩虹粗仿宋" w:cs="彩虹粗仿宋"/>
          <w:color w:val="EE822F" w:themeColor="accent2"/>
          <w:sz w:val="32"/>
          <w:szCs w:val="32"/>
          <w:highlight w:val="none"/>
          <w:lang w:val="en-US" w:eastAsia="zh-CN"/>
          <w14:textFill>
            <w14:solidFill>
              <w14:schemeClr w14:val="accent2"/>
            </w14:solidFill>
          </w14:textFill>
        </w:rPr>
      </w:pPr>
      <w:r>
        <w:rPr>
          <w:rFonts w:hint="eastAsia" w:ascii="彩虹粗仿宋" w:hAnsi="彩虹粗仿宋" w:eastAsia="彩虹粗仿宋" w:cs="彩虹粗仿宋"/>
          <w:sz w:val="32"/>
          <w:szCs w:val="32"/>
          <w:lang w:val="en-US" w:eastAsia="zh-CN"/>
        </w:rPr>
        <w:t xml:space="preserve">  </w:t>
      </w:r>
      <w:r>
        <w:rPr>
          <w:rFonts w:hint="eastAsia" w:ascii="彩虹粗仿宋" w:hAnsi="彩虹粗仿宋" w:eastAsia="彩虹粗仿宋" w:cs="彩虹粗仿宋"/>
          <w:color w:val="EE822F" w:themeColor="accent2"/>
          <w:sz w:val="32"/>
          <w:szCs w:val="32"/>
          <w:lang w:val="en-US" w:eastAsia="zh-CN"/>
          <w14:textFill>
            <w14:solidFill>
              <w14:schemeClr w14:val="accent2"/>
            </w14:solidFill>
          </w14:textFill>
        </w:rPr>
        <w:t xml:space="preserve"> </w:t>
      </w:r>
      <w:r>
        <w:rPr>
          <w:rFonts w:hint="eastAsia" w:ascii="彩虹粗仿宋" w:hAnsi="彩虹粗仿宋" w:eastAsia="彩虹粗仿宋" w:cs="彩虹粗仿宋"/>
          <w:color w:val="EE822F" w:themeColor="accent2"/>
          <w:kern w:val="2"/>
          <w:sz w:val="32"/>
          <w:szCs w:val="32"/>
          <w:lang w:val="en-US" w:eastAsia="zh-CN" w:bidi="ar-SA"/>
          <w14:textFill>
            <w14:solidFill>
              <w14:schemeClr w14:val="accent2"/>
            </w14:solidFill>
          </w14:textFill>
        </w:rPr>
        <w:t xml:space="preserve"> </w:t>
      </w:r>
      <w:r>
        <w:rPr>
          <w:rFonts w:hint="eastAsia" w:ascii="彩虹粗仿宋" w:hAnsi="彩虹粗仿宋" w:eastAsia="彩虹粗仿宋" w:cs="彩虹粗仿宋"/>
          <w:color w:val="EE822F" w:themeColor="accent2"/>
          <w:kern w:val="2"/>
          <w:sz w:val="32"/>
          <w:szCs w:val="32"/>
          <w:highlight w:val="none"/>
          <w:lang w:val="en-US" w:eastAsia="zh-CN" w:bidi="ar-SA"/>
          <w14:textFill>
            <w14:solidFill>
              <w14:schemeClr w14:val="accent2"/>
            </w14:solidFill>
          </w14:textFill>
        </w:rPr>
        <w:t>2、投标供应商须承诺：中标</w:t>
      </w:r>
      <w:bookmarkStart w:id="0" w:name="_GoBack"/>
      <w:bookmarkEnd w:id="0"/>
      <w:r>
        <w:rPr>
          <w:rFonts w:hint="eastAsia" w:ascii="彩虹粗仿宋" w:hAnsi="彩虹粗仿宋" w:eastAsia="彩虹粗仿宋" w:cs="彩虹粗仿宋"/>
          <w:color w:val="EE822F" w:themeColor="accent2"/>
          <w:kern w:val="2"/>
          <w:sz w:val="32"/>
          <w:szCs w:val="32"/>
          <w:highlight w:val="none"/>
          <w:lang w:val="en-US" w:eastAsia="zh-CN" w:bidi="ar-SA"/>
          <w14:textFill>
            <w14:solidFill>
              <w14:schemeClr w14:val="accent2"/>
            </w14:solidFill>
          </w14:textFill>
        </w:rPr>
        <w:t>后免费配合校方及我行完成第三方接入联调测试，提供完整对接测试记录、接入文档、对接成功截图、交易验证流水，经校方及我行双重核验通过后方可验收。若投标设备无法对接兼容学校现有的一卡通系统开放式平台，视为不满足招标核心要求，校方及我行有权无条件否决验收、不予结算。</w:t>
      </w:r>
    </w:p>
    <w:p w14:paraId="40A6208C">
      <w:pPr>
        <w:spacing w:line="560" w:lineRule="exact"/>
        <w:ind w:firstLine="640" w:firstLineChars="200"/>
        <w:rPr>
          <w:rFonts w:hint="eastAsia" w:ascii="彩虹粗仿宋" w:hAnsi="彩虹粗仿宋" w:eastAsia="彩虹粗仿宋" w:cs="彩虹粗仿宋"/>
          <w:color w:val="000000" w:themeColor="text1"/>
          <w:sz w:val="32"/>
          <w:szCs w:val="32"/>
          <w14:textFill>
            <w14:solidFill>
              <w14:schemeClr w14:val="tx1"/>
            </w14:solidFill>
          </w14:textFill>
        </w:rPr>
      </w:pP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3</w:t>
      </w:r>
      <w:r>
        <w:rPr>
          <w:rFonts w:hint="eastAsia" w:ascii="彩虹粗仿宋" w:hAnsi="彩虹粗仿宋" w:eastAsia="彩虹粗仿宋" w:cs="彩虹粗仿宋"/>
          <w:color w:val="000000" w:themeColor="text1"/>
          <w:sz w:val="32"/>
          <w:szCs w:val="32"/>
          <w14:textFill>
            <w14:solidFill>
              <w14:schemeClr w14:val="tx1"/>
            </w14:solidFill>
          </w14:textFill>
        </w:rPr>
        <w:t>、供应商保证提供给我行的硬件产品应为完整、全新、未使用过的产品，产品品质不低于原厂商同类同规格产品品质标准。产品内附质量说明或使用说明的，供应商同时保证产品质量与内附说明一致，保证产品能按照产品内附说明在约定项目中正常运行或使用。</w:t>
      </w:r>
    </w:p>
    <w:p w14:paraId="28B83775">
      <w:pPr>
        <w:spacing w:line="360" w:lineRule="auto"/>
        <w:ind w:firstLine="640" w:firstLineChars="200"/>
        <w:rPr>
          <w:rFonts w:hint="eastAsia" w:ascii="彩虹粗仿宋" w:hAnsi="彩虹粗仿宋" w:eastAsia="彩虹粗仿宋" w:cs="彩虹粗仿宋"/>
          <w:color w:val="000000" w:themeColor="text1"/>
          <w:sz w:val="32"/>
          <w:szCs w:val="32"/>
          <w14:textFill>
            <w14:solidFill>
              <w14:schemeClr w14:val="tx1"/>
            </w14:solidFill>
          </w14:textFill>
        </w:rPr>
      </w:pPr>
      <w:r>
        <w:rPr>
          <w:rFonts w:hint="eastAsia" w:ascii="彩虹粗仿宋" w:hAnsi="彩虹粗仿宋" w:eastAsia="彩虹粗仿宋" w:cs="彩虹粗仿宋"/>
          <w:color w:val="000000" w:themeColor="text1"/>
          <w:sz w:val="32"/>
          <w:szCs w:val="32"/>
          <w:lang w:val="en-US" w:eastAsia="zh-CN"/>
          <w14:textFill>
            <w14:solidFill>
              <w14:schemeClr w14:val="tx1"/>
            </w14:solidFill>
          </w14:textFill>
        </w:rPr>
        <w:t>4</w:t>
      </w:r>
      <w:r>
        <w:rPr>
          <w:rFonts w:hint="eastAsia" w:ascii="彩虹粗仿宋" w:hAnsi="彩虹粗仿宋" w:eastAsia="彩虹粗仿宋" w:cs="彩虹粗仿宋"/>
          <w:color w:val="000000" w:themeColor="text1"/>
          <w:sz w:val="32"/>
          <w:szCs w:val="32"/>
          <w14:textFill>
            <w14:solidFill>
              <w14:schemeClr w14:val="tx1"/>
            </w14:solidFill>
          </w14:textFill>
        </w:rPr>
        <w:t>、供应商保证硬件产品不包含任何明显的或主要的缺陷、错误，不包含任何恶意的、破坏性的或可能导致未经授权者侵入、操作、控制计算机或计算机数据的计算机病毒、木马程序、后门程序等程序设计或程序代码。</w:t>
      </w:r>
    </w:p>
    <w:p w14:paraId="757EC639">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lang w:val="en-US" w:eastAsia="zh-CN"/>
          <w14:textFill>
            <w14:solidFill>
              <w14:schemeClr w14:val="tx1"/>
            </w14:solidFill>
          </w14:textFill>
        </w:rPr>
        <w:t>5</w:t>
      </w:r>
      <w:r>
        <w:rPr>
          <w:rFonts w:hint="eastAsia" w:ascii="彩虹粗仿宋" w:hAnsi="宋体" w:eastAsia="彩虹粗仿宋"/>
          <w:color w:val="000000" w:themeColor="text1"/>
          <w:sz w:val="32"/>
          <w:szCs w:val="32"/>
          <w14:textFill>
            <w14:solidFill>
              <w14:schemeClr w14:val="tx1"/>
            </w14:solidFill>
          </w14:textFill>
        </w:rPr>
        <w:t>、硬件产品必须具有在中国境内的正式合法使用权和销售权，在国内有可靠的技术支持力量。</w:t>
      </w:r>
    </w:p>
    <w:p w14:paraId="3FBAD4FF">
      <w:pPr>
        <w:pStyle w:val="6"/>
        <w:ind w:firstLine="64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lang w:val="en-US" w:eastAsia="zh-CN"/>
          <w14:textFill>
            <w14:solidFill>
              <w14:schemeClr w14:val="tx1"/>
            </w14:solidFill>
          </w14:textFill>
        </w:rPr>
        <w:t>6</w:t>
      </w:r>
      <w:r>
        <w:rPr>
          <w:rFonts w:hint="eastAsia" w:ascii="彩虹粗仿宋" w:hAnsi="宋体" w:eastAsia="彩虹粗仿宋"/>
          <w:color w:val="000000" w:themeColor="text1"/>
          <w:sz w:val="32"/>
          <w:szCs w:val="32"/>
          <w14:textFill>
            <w14:solidFill>
              <w14:schemeClr w14:val="tx1"/>
            </w14:solidFill>
          </w14:textFill>
        </w:rPr>
        <w:t>、本次采购的硬件应当具备我行要求的功能，且不存在任何侵犯第三方知识产权的情形。</w:t>
      </w:r>
    </w:p>
    <w:p w14:paraId="6FBD1007">
      <w:pPr>
        <w:pStyle w:val="6"/>
        <w:ind w:firstLine="64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lang w:val="en-US" w:eastAsia="zh-CN"/>
          <w14:textFill>
            <w14:solidFill>
              <w14:schemeClr w14:val="tx1"/>
            </w14:solidFill>
          </w14:textFill>
        </w:rPr>
        <w:t>7</w:t>
      </w:r>
      <w:r>
        <w:rPr>
          <w:rFonts w:hint="eastAsia" w:ascii="彩虹粗仿宋" w:hAnsi="宋体" w:eastAsia="彩虹粗仿宋"/>
          <w:color w:val="000000" w:themeColor="text1"/>
          <w:sz w:val="32"/>
          <w:szCs w:val="32"/>
          <w14:textFill>
            <w14:solidFill>
              <w14:schemeClr w14:val="tx1"/>
            </w14:solidFill>
          </w14:textFill>
        </w:rPr>
        <w:t>、本次采购的硬件设备的全部权利归属建设银行。</w:t>
      </w:r>
    </w:p>
    <w:p w14:paraId="7B0F8D4B">
      <w:pPr>
        <w:pStyle w:val="5"/>
        <w:ind w:firstLine="643"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五、供货及安装方案</w:t>
      </w:r>
    </w:p>
    <w:p w14:paraId="3CC140D9">
      <w:pPr>
        <w:spacing w:line="360" w:lineRule="auto"/>
        <w:ind w:firstLine="640" w:firstLineChars="200"/>
        <w:rPr>
          <w:rFonts w:ascii="彩虹粗仿宋" w:hAnsi="宋体" w:eastAsia="彩虹粗仿宋"/>
          <w:snapToGrid w:val="0"/>
          <w:color w:val="000000" w:themeColor="text1"/>
          <w:sz w:val="32"/>
          <w:szCs w:val="32"/>
          <w:highlight w:val="none"/>
          <w14:textFill>
            <w14:solidFill>
              <w14:schemeClr w14:val="tx1"/>
            </w14:solidFill>
          </w14:textFill>
        </w:rPr>
      </w:pPr>
      <w:r>
        <w:rPr>
          <w:rFonts w:hint="eastAsia" w:ascii="彩虹粗仿宋" w:hAnsi="宋体" w:eastAsia="彩虹粗仿宋" w:cs="Times New Roman"/>
          <w:snapToGrid w:val="0"/>
          <w:color w:val="000000" w:themeColor="text1"/>
          <w:kern w:val="0"/>
          <w:sz w:val="32"/>
          <w:szCs w:val="32"/>
          <w:highlight w:val="none"/>
          <w:lang w:val="en-US" w:eastAsia="zh-CN"/>
          <w14:textFill>
            <w14:solidFill>
              <w14:schemeClr w14:val="tx1"/>
            </w14:solidFill>
          </w14:textFill>
        </w:rPr>
        <w:t>1</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、安装调试要求</w:t>
      </w:r>
      <w:r>
        <w:rPr>
          <w:rFonts w:hint="eastAsia" w:ascii="彩虹粗仿宋" w:hAnsi="宋体" w:eastAsia="彩虹粗仿宋" w:cs="Times New Roman"/>
          <w:snapToGrid w:val="0"/>
          <w:color w:val="000000" w:themeColor="text1"/>
          <w:kern w:val="0"/>
          <w:sz w:val="32"/>
          <w:szCs w:val="32"/>
          <w:highlight w:val="none"/>
          <w:lang w:eastAsia="zh-CN"/>
          <w14:textFill>
            <w14:solidFill>
              <w14:schemeClr w14:val="tx1"/>
            </w14:solidFill>
          </w14:textFill>
        </w:rPr>
        <w:t>：</w:t>
      </w:r>
      <w:r>
        <w:rPr>
          <w:rFonts w:hint="eastAsia" w:ascii="彩虹粗仿宋" w:hAnsi="宋体" w:eastAsia="彩虹粗仿宋" w:cs="Times New Roman"/>
          <w:snapToGrid w:val="0"/>
          <w:kern w:val="0"/>
          <w:sz w:val="32"/>
          <w:szCs w:val="32"/>
          <w:highlight w:val="none"/>
        </w:rPr>
        <w:t>供应商须在合同签订之日起</w:t>
      </w:r>
      <w:r>
        <w:rPr>
          <w:rFonts w:hint="eastAsia" w:ascii="彩虹粗仿宋" w:hAnsi="宋体" w:eastAsia="彩虹粗仿宋" w:cs="Times New Roman"/>
          <w:snapToGrid w:val="0"/>
          <w:kern w:val="0"/>
          <w:sz w:val="32"/>
          <w:szCs w:val="32"/>
          <w:highlight w:val="none"/>
          <w:lang w:val="en-US" w:eastAsia="zh-CN"/>
        </w:rPr>
        <w:t>7</w:t>
      </w:r>
      <w:r>
        <w:rPr>
          <w:rFonts w:hint="eastAsia" w:ascii="彩虹粗仿宋" w:hAnsi="宋体" w:eastAsia="彩虹粗仿宋" w:cs="Times New Roman"/>
          <w:snapToGrid w:val="0"/>
          <w:kern w:val="0"/>
          <w:sz w:val="32"/>
          <w:szCs w:val="32"/>
          <w:highlight w:val="none"/>
        </w:rPr>
        <w:t>日内</w:t>
      </w:r>
      <w:r>
        <w:rPr>
          <w:rFonts w:hint="eastAsia" w:ascii="彩虹粗仿宋" w:hAnsi="宋体" w:eastAsia="彩虹粗仿宋" w:cs="Times New Roman"/>
          <w:snapToGrid w:val="0"/>
          <w:kern w:val="0"/>
          <w:sz w:val="32"/>
          <w:szCs w:val="32"/>
          <w:highlight w:val="none"/>
          <w:lang w:eastAsia="zh-CN"/>
        </w:rPr>
        <w:t>，</w:t>
      </w:r>
      <w:r>
        <w:rPr>
          <w:rFonts w:hint="eastAsia" w:ascii="彩虹粗仿宋" w:hAnsi="宋体" w:eastAsia="彩虹粗仿宋"/>
          <w:snapToGrid w:val="0"/>
          <w:color w:val="000000" w:themeColor="text1"/>
          <w:sz w:val="32"/>
          <w:szCs w:val="32"/>
          <w:highlight w:val="none"/>
          <w14:textFill>
            <w14:solidFill>
              <w14:schemeClr w14:val="tx1"/>
            </w14:solidFill>
          </w14:textFill>
        </w:rPr>
        <w:t>将商品免费安装、调试完毕，</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完成本项目建设工作，</w:t>
      </w:r>
      <w:r>
        <w:rPr>
          <w:rFonts w:hint="eastAsia" w:ascii="彩虹粗仿宋" w:hAnsi="宋体" w:eastAsia="彩虹粗仿宋" w:cs="Times New Roman"/>
          <w:snapToGrid w:val="0"/>
          <w:color w:val="000000" w:themeColor="text1"/>
          <w:kern w:val="0"/>
          <w:sz w:val="32"/>
          <w:szCs w:val="32"/>
          <w:highlight w:val="none"/>
          <w:lang w:eastAsia="zh-CN"/>
          <w14:textFill>
            <w14:solidFill>
              <w14:schemeClr w14:val="tx1"/>
            </w14:solidFill>
          </w14:textFill>
        </w:rPr>
        <w:t>并投入使用</w:t>
      </w:r>
      <w:r>
        <w:rPr>
          <w:rFonts w:hint="eastAsia" w:ascii="彩虹粗仿宋" w:hAnsi="宋体" w:eastAsia="彩虹粗仿宋" w:cs="Times New Roman"/>
          <w:snapToGrid w:val="0"/>
          <w:color w:val="000000" w:themeColor="text1"/>
          <w:kern w:val="0"/>
          <w:sz w:val="32"/>
          <w:szCs w:val="32"/>
          <w:highlight w:val="none"/>
          <w14:textFill>
            <w14:solidFill>
              <w14:schemeClr w14:val="tx1"/>
            </w14:solidFill>
          </w14:textFill>
        </w:rPr>
        <w:t>，并由梧州高级中学、我行共同验收。</w:t>
      </w:r>
    </w:p>
    <w:p w14:paraId="5F805E5D">
      <w:pPr>
        <w:pStyle w:val="7"/>
        <w:adjustRightInd w:val="0"/>
        <w:snapToGrid w:val="0"/>
        <w:spacing w:line="560" w:lineRule="atLeast"/>
        <w:ind w:firstLine="640" w:firstLineChars="200"/>
        <w:rPr>
          <w:rFonts w:ascii="彩虹粗仿宋" w:hAnsi="宋体" w:eastAsia="彩虹粗仿宋"/>
          <w:snapToGrid w:val="0"/>
          <w:color w:val="000000" w:themeColor="text1"/>
          <w:sz w:val="32"/>
          <w:szCs w:val="32"/>
          <w14:textFill>
            <w14:solidFill>
              <w14:schemeClr w14:val="tx1"/>
            </w14:solidFill>
          </w14:textFill>
        </w:rPr>
      </w:pPr>
      <w:r>
        <w:rPr>
          <w:rFonts w:hint="eastAsia" w:ascii="彩虹粗仿宋" w:hAnsi="宋体" w:eastAsia="彩虹粗仿宋"/>
          <w:snapToGrid w:val="0"/>
          <w:color w:val="000000" w:themeColor="text1"/>
          <w:sz w:val="32"/>
          <w:szCs w:val="32"/>
          <w:lang w:val="en-US" w:eastAsia="zh-CN"/>
          <w14:textFill>
            <w14:solidFill>
              <w14:schemeClr w14:val="tx1"/>
            </w14:solidFill>
          </w14:textFill>
        </w:rPr>
        <w:t>2</w:t>
      </w:r>
      <w:r>
        <w:rPr>
          <w:rFonts w:hint="eastAsia" w:ascii="彩虹粗仿宋" w:hAnsi="宋体" w:eastAsia="彩虹粗仿宋"/>
          <w:snapToGrid w:val="0"/>
          <w:color w:val="000000" w:themeColor="text1"/>
          <w:sz w:val="32"/>
          <w:szCs w:val="32"/>
          <w14:textFill>
            <w14:solidFill>
              <w14:schemeClr w14:val="tx1"/>
            </w14:solidFill>
          </w14:textFill>
        </w:rPr>
        <w:t>、验收标准：在验收过程中如发现质量、规格和技术标准不符合合同要求的，</w:t>
      </w:r>
      <w:r>
        <w:rPr>
          <w:rFonts w:hint="eastAsia" w:ascii="彩虹粗仿宋" w:hAnsi="宋体" w:eastAsia="彩虹粗仿宋"/>
          <w:color w:val="000000" w:themeColor="text1"/>
          <w:sz w:val="32"/>
          <w:szCs w:val="32"/>
          <w:lang w:val="en-US"/>
          <w14:textFill>
            <w14:solidFill>
              <w14:schemeClr w14:val="tx1"/>
            </w14:solidFill>
          </w14:textFill>
        </w:rPr>
        <w:t>梧州高级中学</w:t>
      </w:r>
      <w:r>
        <w:rPr>
          <w:rFonts w:hint="eastAsia" w:ascii="彩虹粗仿宋" w:hAnsi="宋体" w:eastAsia="彩虹粗仿宋"/>
          <w:snapToGrid w:val="0"/>
          <w:color w:val="000000" w:themeColor="text1"/>
          <w:sz w:val="32"/>
          <w:szCs w:val="32"/>
          <w14:textFill>
            <w14:solidFill>
              <w14:schemeClr w14:val="tx1"/>
            </w14:solidFill>
          </w14:textFill>
        </w:rPr>
        <w:t>及我行可不予接收，损失由供应商自负。</w:t>
      </w:r>
    </w:p>
    <w:p w14:paraId="39F1E128">
      <w:pPr>
        <w:pStyle w:val="7"/>
        <w:adjustRightInd w:val="0"/>
        <w:snapToGrid w:val="0"/>
        <w:spacing w:line="560" w:lineRule="atLeast"/>
        <w:ind w:firstLine="640" w:firstLineChars="200"/>
        <w:rPr>
          <w:rFonts w:ascii="彩虹粗仿宋" w:hAnsi="宋体" w:eastAsia="彩虹粗仿宋"/>
          <w:snapToGrid w:val="0"/>
          <w:color w:val="000000" w:themeColor="text1"/>
          <w:sz w:val="32"/>
          <w:szCs w:val="32"/>
          <w14:textFill>
            <w14:solidFill>
              <w14:schemeClr w14:val="tx1"/>
            </w14:solidFill>
          </w14:textFill>
        </w:rPr>
      </w:pPr>
      <w:r>
        <w:rPr>
          <w:rFonts w:hint="eastAsia" w:ascii="彩虹粗仿宋" w:hAnsi="宋体" w:eastAsia="彩虹粗仿宋"/>
          <w:snapToGrid w:val="0"/>
          <w:color w:val="000000" w:themeColor="text1"/>
          <w:sz w:val="32"/>
          <w:szCs w:val="32"/>
          <w:lang w:val="en-US" w:eastAsia="zh-CN"/>
          <w14:textFill>
            <w14:solidFill>
              <w14:schemeClr w14:val="tx1"/>
            </w14:solidFill>
          </w14:textFill>
        </w:rPr>
        <w:t>3</w:t>
      </w:r>
      <w:r>
        <w:rPr>
          <w:rFonts w:hint="eastAsia" w:ascii="彩虹粗仿宋" w:hAnsi="宋体" w:eastAsia="彩虹粗仿宋"/>
          <w:snapToGrid w:val="0"/>
          <w:color w:val="000000" w:themeColor="text1"/>
          <w:sz w:val="32"/>
          <w:szCs w:val="32"/>
          <w14:textFill>
            <w14:solidFill>
              <w14:schemeClr w14:val="tx1"/>
            </w14:solidFill>
          </w14:textFill>
        </w:rPr>
        <w:t>、服务要求：合作期内，对</w:t>
      </w:r>
      <w:r>
        <w:rPr>
          <w:rFonts w:hint="eastAsia" w:ascii="彩虹粗仿宋" w:hAnsi="宋体" w:eastAsia="彩虹粗仿宋"/>
          <w:color w:val="000000" w:themeColor="text1"/>
          <w:sz w:val="32"/>
          <w:szCs w:val="32"/>
          <w:lang w:val="en-US"/>
          <w14:textFill>
            <w14:solidFill>
              <w14:schemeClr w14:val="tx1"/>
            </w14:solidFill>
          </w14:textFill>
        </w:rPr>
        <w:t>梧州高级中学涉及该项目的使用人员</w:t>
      </w:r>
      <w:r>
        <w:rPr>
          <w:rFonts w:hint="eastAsia" w:ascii="彩虹粗仿宋" w:hAnsi="宋体" w:eastAsia="彩虹粗仿宋"/>
          <w:snapToGrid w:val="0"/>
          <w:color w:val="000000" w:themeColor="text1"/>
          <w:sz w:val="32"/>
          <w:szCs w:val="32"/>
          <w14:textFill>
            <w14:solidFill>
              <w14:schemeClr w14:val="tx1"/>
            </w14:solidFill>
          </w14:textFill>
        </w:rPr>
        <w:t>进行培训、指导，协助进行数据通讯接口测试，提供相关技术服务。</w:t>
      </w:r>
    </w:p>
    <w:p w14:paraId="7A86DA05">
      <w:pPr>
        <w:pStyle w:val="5"/>
        <w:ind w:firstLine="643"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六、款项支付要求</w:t>
      </w:r>
    </w:p>
    <w:p w14:paraId="77B0C150">
      <w:pPr>
        <w:adjustRightInd w:val="0"/>
        <w:snapToGrid w:val="0"/>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ascii="彩虹粗仿宋" w:hAnsi="宋体" w:eastAsia="彩虹粗仿宋"/>
          <w:color w:val="000000" w:themeColor="text1"/>
          <w:sz w:val="32"/>
          <w:szCs w:val="32"/>
          <w14:textFill>
            <w14:solidFill>
              <w14:schemeClr w14:val="tx1"/>
            </w14:solidFill>
          </w14:textFill>
        </w:rPr>
        <w:t>1</w:t>
      </w:r>
      <w:r>
        <w:rPr>
          <w:rFonts w:hint="eastAsia" w:ascii="彩虹粗仿宋" w:hAnsi="宋体" w:eastAsia="彩虹粗仿宋"/>
          <w:color w:val="000000" w:themeColor="text1"/>
          <w:sz w:val="32"/>
          <w:szCs w:val="32"/>
          <w14:textFill>
            <w14:solidFill>
              <w14:schemeClr w14:val="tx1"/>
            </w14:solidFill>
          </w14:textFill>
        </w:rPr>
        <w:t>、本项目的付款方式为转账支付</w:t>
      </w:r>
      <w:r>
        <w:rPr>
          <w:rFonts w:hint="eastAsia" w:ascii="彩虹粗仿宋" w:hAnsi="宋体" w:eastAsia="彩虹粗仿宋"/>
          <w:color w:val="000000" w:themeColor="text1"/>
          <w:sz w:val="32"/>
          <w:szCs w:val="32"/>
          <w:lang w:eastAsia="zh-CN"/>
          <w14:textFill>
            <w14:solidFill>
              <w14:schemeClr w14:val="tx1"/>
            </w14:solidFill>
          </w14:textFill>
        </w:rPr>
        <w:t>。</w:t>
      </w:r>
      <w:r>
        <w:rPr>
          <w:rFonts w:hint="eastAsia" w:ascii="彩虹粗仿宋" w:hAnsi="宋体" w:eastAsia="彩虹粗仿宋"/>
          <w:color w:val="000000" w:themeColor="text1"/>
          <w:sz w:val="32"/>
          <w:szCs w:val="32"/>
          <w:lang w:val="en-US" w:eastAsia="zh-CN"/>
          <w14:textFill>
            <w14:solidFill>
              <w14:schemeClr w14:val="tx1"/>
            </w14:solidFill>
          </w14:textFill>
        </w:rPr>
        <w:t>在</w:t>
      </w:r>
      <w:r>
        <w:rPr>
          <w:rFonts w:hint="eastAsia" w:ascii="彩虹粗仿宋" w:hAnsi="宋体" w:eastAsia="彩虹粗仿宋"/>
          <w:color w:val="000000" w:themeColor="text1"/>
          <w:sz w:val="32"/>
          <w:szCs w:val="32"/>
          <w14:textFill>
            <w14:solidFill>
              <w14:schemeClr w14:val="tx1"/>
            </w14:solidFill>
          </w14:textFill>
        </w:rPr>
        <w:t>供应商完成梧州高级中学一卡通项目硬件安装、调试、数据初始化等工作</w:t>
      </w:r>
      <w:r>
        <w:rPr>
          <w:rFonts w:hint="eastAsia" w:ascii="彩虹粗仿宋" w:hAnsi="宋体" w:eastAsia="彩虹粗仿宋"/>
          <w:color w:val="000000" w:themeColor="text1"/>
          <w:sz w:val="32"/>
          <w:szCs w:val="32"/>
          <w:lang w:val="en-US" w:eastAsia="zh-CN"/>
          <w14:textFill>
            <w14:solidFill>
              <w14:schemeClr w14:val="tx1"/>
            </w14:solidFill>
          </w14:textFill>
        </w:rPr>
        <w:t>，</w:t>
      </w:r>
      <w:r>
        <w:rPr>
          <w:rFonts w:hint="eastAsia" w:ascii="彩虹粗仿宋" w:hAnsi="宋体" w:eastAsia="彩虹粗仿宋"/>
          <w:color w:val="000000" w:themeColor="text1"/>
          <w:sz w:val="32"/>
          <w:szCs w:val="32"/>
          <w14:textFill>
            <w14:solidFill>
              <w14:schemeClr w14:val="tx1"/>
            </w14:solidFill>
          </w14:textFill>
        </w:rPr>
        <w:t>项目</w:t>
      </w:r>
      <w:r>
        <w:rPr>
          <w:rFonts w:hint="eastAsia" w:ascii="彩虹粗仿宋" w:hAnsi="宋体" w:eastAsia="彩虹粗仿宋"/>
          <w:color w:val="000000" w:themeColor="text1"/>
          <w:sz w:val="32"/>
          <w:szCs w:val="32"/>
          <w:lang w:val="en-US" w:eastAsia="zh-CN"/>
          <w14:textFill>
            <w14:solidFill>
              <w14:schemeClr w14:val="tx1"/>
            </w14:solidFill>
          </w14:textFill>
        </w:rPr>
        <w:t>已</w:t>
      </w:r>
      <w:r>
        <w:rPr>
          <w:rFonts w:hint="eastAsia" w:ascii="彩虹粗仿宋" w:hAnsi="宋体" w:eastAsia="彩虹粗仿宋"/>
          <w:color w:val="000000" w:themeColor="text1"/>
          <w:sz w:val="32"/>
          <w:szCs w:val="32"/>
          <w14:textFill>
            <w14:solidFill>
              <w14:schemeClr w14:val="tx1"/>
            </w14:solidFill>
          </w14:textFill>
        </w:rPr>
        <w:t>具备上线运营能力，经由梧州高级中学、我行和供应商三方进行验收并形成验收报告，且供应商开具符合我行规定的增值税专用发票后，我行支付合同硬件总价款的</w:t>
      </w:r>
      <w:r>
        <w:rPr>
          <w:rFonts w:ascii="彩虹粗仿宋" w:hAnsi="宋体" w:eastAsia="彩虹粗仿宋"/>
          <w:color w:val="000000" w:themeColor="text1"/>
          <w:sz w:val="32"/>
          <w:szCs w:val="32"/>
          <w14:textFill>
            <w14:solidFill>
              <w14:schemeClr w14:val="tx1"/>
            </w14:solidFill>
          </w14:textFill>
        </w:rPr>
        <w:t>9</w:t>
      </w:r>
      <w:r>
        <w:rPr>
          <w:rFonts w:hint="eastAsia" w:ascii="彩虹粗仿宋" w:hAnsi="宋体" w:eastAsia="彩虹粗仿宋"/>
          <w:color w:val="000000" w:themeColor="text1"/>
          <w:sz w:val="32"/>
          <w:szCs w:val="32"/>
          <w14:textFill>
            <w14:solidFill>
              <w14:schemeClr w14:val="tx1"/>
            </w14:solidFill>
          </w14:textFill>
        </w:rPr>
        <w:t>8%。总价款最后剩余的2%作为质量保证金，在系统运行满5年且无违约情形、无质量问题后支付。</w:t>
      </w:r>
    </w:p>
    <w:p w14:paraId="67418C6A">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2、维保费用从验收合格投入使用的第二年后逐年支付，我行收到供应商开具符合我行规定的增值税专用发票后30日内支付款项。</w:t>
      </w:r>
    </w:p>
    <w:p w14:paraId="71AA6869">
      <w:pPr>
        <w:pStyle w:val="5"/>
        <w:ind w:firstLine="643"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七、报价要求</w:t>
      </w:r>
    </w:p>
    <w:p w14:paraId="198E3A66">
      <w:pPr>
        <w:adjustRightInd w:val="0"/>
        <w:snapToGrid w:val="0"/>
        <w:spacing w:line="360" w:lineRule="auto"/>
        <w:ind w:firstLine="640" w:firstLineChars="200"/>
        <w:rPr>
          <w:rFonts w:ascii="彩虹粗仿宋" w:hAnsi="宋体" w:eastAsia="彩虹粗仿宋" w:cs="Times New Roman"/>
          <w:b/>
          <w:snapToGrid w:val="0"/>
          <w:color w:val="000000" w:themeColor="text1"/>
          <w:kern w:val="0"/>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供应商报价应包含合同产品验收合格前发生的所有费用，如项目施工时所需的电源布线，及安装调试等费用。报价含税，供应商需提供增值税专用发票。</w:t>
      </w:r>
    </w:p>
    <w:p w14:paraId="6F3628A5">
      <w:pPr>
        <w:pStyle w:val="5"/>
        <w:ind w:firstLine="643"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八、售后服务要求</w:t>
      </w:r>
    </w:p>
    <w:p w14:paraId="2D16EA69">
      <w:pPr>
        <w:spacing w:line="560" w:lineRule="exact"/>
        <w:ind w:firstLine="627" w:firstLineChars="196"/>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1、自验收合格之日起对我行所购硬件产品均提供8年的维护支持服务。维护支持服务期内提供方应提供7×24小时电话、网络等远程支持服务及上门维护支持服务，通过电话、网络等远程方式对我行在</w:t>
      </w:r>
      <w:r>
        <w:rPr>
          <w:rFonts w:hint="eastAsia" w:ascii="彩虹粗仿宋" w:hAnsi="宋体" w:eastAsia="彩虹粗仿宋"/>
          <w:sz w:val="32"/>
          <w:szCs w:val="32"/>
        </w:rPr>
        <w:t>硬件</w:t>
      </w:r>
      <w:r>
        <w:rPr>
          <w:rFonts w:hint="eastAsia" w:ascii="彩虹粗仿宋" w:hAnsi="宋体" w:eastAsia="彩虹粗仿宋"/>
          <w:color w:val="000000" w:themeColor="text1"/>
          <w:sz w:val="32"/>
          <w:szCs w:val="32"/>
          <w14:textFill>
            <w14:solidFill>
              <w14:schemeClr w14:val="tx1"/>
            </w14:solidFill>
          </w14:textFill>
        </w:rPr>
        <w:t>产品使用过程中出现的一般性问题提供咨询解答。硬件件产品出现故障时，我行可以通过电话或网络方式向供应商报告故障（简称“故障报告”），供应商应按照约定立即作出响应。</w:t>
      </w:r>
    </w:p>
    <w:p w14:paraId="20867F7F">
      <w:pPr>
        <w:spacing w:line="560" w:lineRule="exact"/>
        <w:ind w:firstLine="627" w:firstLineChars="196"/>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 xml:space="preserve">2、硬件产品故障分为严重、一般、轻微三个等级（“严重”为无法运行或基本无法运行，或重要功能失效或基本失效；“一般”为可以运行，但非重要性功能的使用受到限制；“轻微”为其它轻微影响使用的故障），供应商应根据故障的不同级别，提供不同的故障响应及服务：    </w:t>
      </w:r>
    </w:p>
    <w:p w14:paraId="5A3FEFF1">
      <w:pPr>
        <w:spacing w:line="560" w:lineRule="exact"/>
        <w:ind w:firstLine="627" w:firstLineChars="196"/>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（1）对于严重级别故障，供应商应立即派出高级技术人员到现场进行维修，与此同时，供应商技术支持人员应通过电话、网络等方式尝试排除故障，供应商承诺在收到故障报告后24小时内恢复硬件产品正常运行。</w:t>
      </w:r>
    </w:p>
    <w:p w14:paraId="65FA236A">
      <w:pPr>
        <w:spacing w:line="560" w:lineRule="exact"/>
        <w:ind w:firstLine="627" w:firstLineChars="196"/>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（2）对于一般级别故障，供应商应立即通过电话、网络等方式尝试排除故障，供应商承诺在收到故障报告后16小时内恢复硬件产品正常运行。</w:t>
      </w:r>
    </w:p>
    <w:p w14:paraId="0F7FF230">
      <w:pPr>
        <w:spacing w:line="560" w:lineRule="exact"/>
        <w:ind w:firstLine="627" w:firstLineChars="196"/>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（3）对于轻微级别故障，供应商应立即通过电话、网络等方式尝试排除故障，供应商承诺在收到故障报告后4小时内恢复硬件产品正常运行。</w:t>
      </w:r>
    </w:p>
    <w:p w14:paraId="55643316">
      <w:pPr>
        <w:spacing w:line="560" w:lineRule="exact"/>
        <w:ind w:firstLine="627" w:firstLineChars="196"/>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（4）对于无法现场解决的故障，供应商应当立即以功能相同的符合约定的硬件产品替换故障硬件产品或按照我行要求采取其他补救措施。</w:t>
      </w:r>
    </w:p>
    <w:p w14:paraId="3C42FF1A">
      <w:pPr>
        <w:spacing w:line="560" w:lineRule="exact"/>
        <w:ind w:firstLine="627" w:firstLineChars="196"/>
        <w:rPr>
          <w:rFonts w:ascii="彩虹粗仿宋" w:hAnsi="彩虹粗仿宋" w:eastAsia="彩虹粗仿宋"/>
          <w:color w:val="000000" w:themeColor="text1"/>
          <w:sz w:val="32"/>
          <w14:textFill>
            <w14:solidFill>
              <w14:schemeClr w14:val="tx1"/>
            </w14:solidFill>
          </w14:textFill>
        </w:rPr>
      </w:pPr>
      <w:r>
        <w:rPr>
          <w:rFonts w:hint="eastAsia" w:ascii="彩虹粗仿宋" w:hAnsi="彩虹粗仿宋" w:eastAsia="彩虹粗仿宋"/>
          <w:color w:val="000000" w:themeColor="text1"/>
          <w:sz w:val="32"/>
          <w14:textFill>
            <w14:solidFill>
              <w14:schemeClr w14:val="tx1"/>
            </w14:solidFill>
          </w14:textFill>
        </w:rPr>
        <w:t>3、供应商不得截留或向第三方泄露所涉及系统的任何信息，敏感数据对接必须在梧州高级中学学校</w:t>
      </w:r>
      <w:r>
        <w:rPr>
          <w:rFonts w:hint="eastAsia" w:ascii="彩虹粗仿宋" w:hAnsi="宋体" w:eastAsia="彩虹粗仿宋"/>
          <w:color w:val="000000" w:themeColor="text1"/>
          <w:sz w:val="32"/>
          <w:szCs w:val="32"/>
          <w14:textFill>
            <w14:solidFill>
              <w14:schemeClr w14:val="tx1"/>
            </w14:solidFill>
          </w14:textFill>
        </w:rPr>
        <w:t>场所</w:t>
      </w:r>
      <w:r>
        <w:rPr>
          <w:rFonts w:hint="eastAsia" w:ascii="彩虹粗仿宋" w:hAnsi="彩虹粗仿宋" w:eastAsia="彩虹粗仿宋"/>
          <w:color w:val="000000" w:themeColor="text1"/>
          <w:sz w:val="32"/>
          <w14:textFill>
            <w14:solidFill>
              <w14:schemeClr w14:val="tx1"/>
            </w14:solidFill>
          </w14:textFill>
        </w:rPr>
        <w:t>内完成，确保相关信息的安全性、保密性，若有违反，将依法追究责任。</w:t>
      </w:r>
    </w:p>
    <w:p w14:paraId="255822F7">
      <w:pPr>
        <w:pStyle w:val="5"/>
        <w:ind w:firstLine="643"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九、其他要求</w:t>
      </w:r>
    </w:p>
    <w:p w14:paraId="5A4BC365">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1、禁止进行低价格恶意竞争，一旦发现、查实，取消候选资格和入选资格。</w:t>
      </w:r>
    </w:p>
    <w:p w14:paraId="2FF4F281">
      <w:pPr>
        <w:spacing w:line="360" w:lineRule="auto"/>
        <w:ind w:firstLine="640" w:firstLineChars="200"/>
        <w:rPr>
          <w:rFonts w:ascii="彩虹粗仿宋" w:hAnsi="宋体" w:eastAsia="彩虹粗仿宋"/>
          <w:color w:val="000000" w:themeColor="text1"/>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2、合同签订单位、发票开具单位必须与本次谈判邀请单位完全一致。</w:t>
      </w:r>
    </w:p>
    <w:p w14:paraId="4755CDF8">
      <w:pPr>
        <w:spacing w:line="360" w:lineRule="auto"/>
        <w:ind w:firstLine="640" w:firstLineChars="200"/>
        <w:rPr>
          <w:rFonts w:ascii="彩虹粗仿宋" w:hAnsi="宋体" w:eastAsia="彩虹粗仿宋"/>
          <w:snapToGrid w:val="0"/>
          <w:color w:val="000000" w:themeColor="text1"/>
          <w:kern w:val="0"/>
          <w:sz w:val="32"/>
          <w:szCs w:val="32"/>
          <w14:textFill>
            <w14:solidFill>
              <w14:schemeClr w14:val="tx1"/>
            </w14:solidFill>
          </w14:textFill>
        </w:rPr>
      </w:pPr>
      <w:r>
        <w:rPr>
          <w:rFonts w:hint="eastAsia" w:ascii="彩虹粗仿宋" w:hAnsi="宋体" w:eastAsia="彩虹粗仿宋"/>
          <w:color w:val="000000" w:themeColor="text1"/>
          <w:sz w:val="32"/>
          <w:szCs w:val="32"/>
          <w14:textFill>
            <w14:solidFill>
              <w14:schemeClr w14:val="tx1"/>
            </w14:solidFill>
          </w14:textFill>
        </w:rPr>
        <w:t>3、关于我行及我行客户方面的任何信息均属于商业秘密，供应商须对以上信息严格保密，否则须承担由于泄密对我行造成的一切损失</w:t>
      </w:r>
      <w:r>
        <w:rPr>
          <w:rFonts w:hint="eastAsia" w:ascii="彩虹粗仿宋" w:hAnsi="宋体" w:eastAsia="彩虹粗仿宋"/>
          <w:snapToGrid w:val="0"/>
          <w:color w:val="000000" w:themeColor="text1"/>
          <w:kern w:val="0"/>
          <w:sz w:val="32"/>
          <w:szCs w:val="32"/>
          <w14:textFill>
            <w14:solidFill>
              <w14:schemeClr w14:val="tx1"/>
            </w14:solidFill>
          </w14:textFill>
        </w:rPr>
        <w:t>。</w:t>
      </w:r>
    </w:p>
    <w:p w14:paraId="47B3C40B">
      <w:pPr>
        <w:rPr>
          <w:color w:val="000000" w:themeColor="text1"/>
          <w14:textFill>
            <w14:solidFill>
              <w14:schemeClr w14:val="tx1"/>
            </w14:solidFill>
          </w14:textFill>
        </w:rPr>
      </w:pPr>
    </w:p>
    <w:p w14:paraId="39C34EFC">
      <w:pPr>
        <w:rPr>
          <w:color w:val="000000" w:themeColor="text1"/>
          <w14:textFill>
            <w14:solidFill>
              <w14:schemeClr w14:val="tx1"/>
            </w14:solidFill>
          </w14:textFill>
        </w:rPr>
      </w:pPr>
    </w:p>
    <w:p w14:paraId="785B76A7">
      <w:pPr>
        <w:rPr>
          <w:color w:val="000000" w:themeColor="text1"/>
          <w14:textFill>
            <w14:solidFill>
              <w14:schemeClr w14:val="tx1"/>
            </w14:solidFill>
          </w14:textFill>
        </w:rPr>
      </w:pPr>
    </w:p>
    <w:p w14:paraId="74872FEC">
      <w:pPr>
        <w:rPr>
          <w:rFonts w:ascii="彩虹粗仿宋" w:hAnsi="彩虹粗仿宋" w:eastAsia="彩虹粗仿宋" w:cs="彩虹粗仿宋"/>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2D41DF"/>
    <w:multiLevelType w:val="singleLevel"/>
    <w:tmpl w:val="072D41DF"/>
    <w:lvl w:ilvl="0" w:tentative="0">
      <w:start w:val="12"/>
      <w:numFmt w:val="decimal"/>
      <w:suff w:val="nothing"/>
      <w:lvlText w:val="%1、"/>
      <w:lvlJc w:val="left"/>
    </w:lvl>
  </w:abstractNum>
  <w:abstractNum w:abstractNumId="1">
    <w:nsid w:val="66D0827D"/>
    <w:multiLevelType w:val="singleLevel"/>
    <w:tmpl w:val="66D0827D"/>
    <w:lvl w:ilvl="0" w:tentative="0">
      <w:start w:val="2"/>
      <w:numFmt w:val="upperLetter"/>
      <w:suff w:val="nothing"/>
      <w:lvlText w:val="%1、"/>
      <w:lvlJc w:val="left"/>
      <w:pPr>
        <w:ind w:left="56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966"/>
    <w:rsid w:val="00052D62"/>
    <w:rsid w:val="001E00CA"/>
    <w:rsid w:val="005B3765"/>
    <w:rsid w:val="00A33966"/>
    <w:rsid w:val="00BB0177"/>
    <w:rsid w:val="00E40215"/>
    <w:rsid w:val="04237C98"/>
    <w:rsid w:val="068E5516"/>
    <w:rsid w:val="086F636F"/>
    <w:rsid w:val="099B0D77"/>
    <w:rsid w:val="09AF4D5B"/>
    <w:rsid w:val="0ABD672D"/>
    <w:rsid w:val="0B6A39AF"/>
    <w:rsid w:val="0BD04E7C"/>
    <w:rsid w:val="0C3565C2"/>
    <w:rsid w:val="0D5663F1"/>
    <w:rsid w:val="0F834592"/>
    <w:rsid w:val="107E71A5"/>
    <w:rsid w:val="11B322D4"/>
    <w:rsid w:val="13E977DE"/>
    <w:rsid w:val="171A2AAF"/>
    <w:rsid w:val="1B892B85"/>
    <w:rsid w:val="1BDD7BBD"/>
    <w:rsid w:val="1BE3676C"/>
    <w:rsid w:val="1CB3762C"/>
    <w:rsid w:val="1DC2588D"/>
    <w:rsid w:val="20344CFA"/>
    <w:rsid w:val="23A723AC"/>
    <w:rsid w:val="2525188B"/>
    <w:rsid w:val="27350000"/>
    <w:rsid w:val="2ABF1892"/>
    <w:rsid w:val="2B4A3431"/>
    <w:rsid w:val="2E183793"/>
    <w:rsid w:val="2E340414"/>
    <w:rsid w:val="2FBD6B6D"/>
    <w:rsid w:val="30112B90"/>
    <w:rsid w:val="30D37E45"/>
    <w:rsid w:val="32BA603D"/>
    <w:rsid w:val="3357486A"/>
    <w:rsid w:val="376F44BB"/>
    <w:rsid w:val="38C34093"/>
    <w:rsid w:val="3CEA09F1"/>
    <w:rsid w:val="3E4179D1"/>
    <w:rsid w:val="3EE819BF"/>
    <w:rsid w:val="411E510D"/>
    <w:rsid w:val="420740E8"/>
    <w:rsid w:val="423C1FAE"/>
    <w:rsid w:val="42734FE4"/>
    <w:rsid w:val="44877E79"/>
    <w:rsid w:val="45442347"/>
    <w:rsid w:val="45571B42"/>
    <w:rsid w:val="45715DD8"/>
    <w:rsid w:val="459C2E37"/>
    <w:rsid w:val="48112949"/>
    <w:rsid w:val="49952274"/>
    <w:rsid w:val="4A5120AF"/>
    <w:rsid w:val="4CD80E63"/>
    <w:rsid w:val="4CF27F48"/>
    <w:rsid w:val="4D116B12"/>
    <w:rsid w:val="4D9A60E0"/>
    <w:rsid w:val="4DA94BA9"/>
    <w:rsid w:val="50616DC4"/>
    <w:rsid w:val="540B773A"/>
    <w:rsid w:val="557E3E69"/>
    <w:rsid w:val="55F81F79"/>
    <w:rsid w:val="582E1080"/>
    <w:rsid w:val="59FB22D0"/>
    <w:rsid w:val="5A1F1A6D"/>
    <w:rsid w:val="5A7A7400"/>
    <w:rsid w:val="5EB90BDF"/>
    <w:rsid w:val="644A6DF3"/>
    <w:rsid w:val="64B90B25"/>
    <w:rsid w:val="68635744"/>
    <w:rsid w:val="6944493B"/>
    <w:rsid w:val="6CA60EF3"/>
    <w:rsid w:val="6D136D34"/>
    <w:rsid w:val="6E6371A6"/>
    <w:rsid w:val="73182689"/>
    <w:rsid w:val="74C7115C"/>
    <w:rsid w:val="754206C3"/>
    <w:rsid w:val="771F2A69"/>
    <w:rsid w:val="781D4A97"/>
    <w:rsid w:val="785E5AD4"/>
    <w:rsid w:val="79984D55"/>
    <w:rsid w:val="7CB22117"/>
    <w:rsid w:val="7CB7338C"/>
    <w:rsid w:val="7DED1B13"/>
    <w:rsid w:val="7FC44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firstLine="420" w:firstLineChars="200"/>
    </w:pPr>
    <w:rPr>
      <w:szCs w:val="24"/>
    </w:rPr>
  </w:style>
  <w:style w:type="paragraph" w:styleId="3">
    <w:name w:val="Body Text Indent"/>
    <w:basedOn w:val="1"/>
    <w:next w:val="4"/>
    <w:qFormat/>
    <w:uiPriority w:val="0"/>
    <w:pPr>
      <w:ind w:firstLine="830" w:firstLineChars="352"/>
    </w:pPr>
    <w:rPr>
      <w:rFonts w:ascii="仿宋_GB2312" w:eastAsia="仿宋_GB2312"/>
      <w:kern w:val="0"/>
      <w:sz w:val="32"/>
      <w:szCs w:val="20"/>
    </w:rPr>
  </w:style>
  <w:style w:type="paragraph" w:styleId="4">
    <w:name w:val="envelope return"/>
    <w:basedOn w:val="1"/>
    <w:qFormat/>
    <w:uiPriority w:val="0"/>
    <w:pPr>
      <w:snapToGrid w:val="0"/>
    </w:pPr>
    <w:rPr>
      <w:rFonts w:ascii="Arial" w:hAnsi="Arial"/>
    </w:rPr>
  </w:style>
  <w:style w:type="paragraph" w:styleId="6">
    <w:name w:val="Body Text"/>
    <w:basedOn w:val="1"/>
    <w:next w:val="1"/>
    <w:qFormat/>
    <w:uiPriority w:val="0"/>
    <w:rPr>
      <w:rFonts w:ascii="宋体" w:hAnsi="Arial"/>
      <w:sz w:val="28"/>
      <w:szCs w:val="20"/>
    </w:rPr>
  </w:style>
  <w:style w:type="paragraph" w:styleId="7">
    <w:name w:val="Plain Text"/>
    <w:basedOn w:val="1"/>
    <w:qFormat/>
    <w:uiPriority w:val="0"/>
    <w:rPr>
      <w:rFonts w:ascii="宋体" w:hAnsi="Courier New" w:eastAsia="宋体" w:cs="Times New Roman"/>
      <w:kern w:val="0"/>
      <w:sz w:val="20"/>
      <w:szCs w:val="21"/>
      <w:lang w:val="zh-CN"/>
    </w:rPr>
  </w:style>
  <w:style w:type="character" w:customStyle="1" w:styleId="10">
    <w:name w:val="font11"/>
    <w:basedOn w:val="9"/>
    <w:qFormat/>
    <w:uiPriority w:val="0"/>
    <w:rPr>
      <w:rFonts w:hint="eastAsia" w:ascii="宋体" w:hAnsi="宋体" w:eastAsia="宋体" w:cs="宋体"/>
      <w:color w:val="000000"/>
      <w:sz w:val="16"/>
      <w:szCs w:val="16"/>
      <w:u w:val="none"/>
    </w:rPr>
  </w:style>
  <w:style w:type="character" w:customStyle="1" w:styleId="11">
    <w:name w:val="font41"/>
    <w:basedOn w:val="9"/>
    <w:qFormat/>
    <w:uiPriority w:val="0"/>
    <w:rPr>
      <w:rFonts w:hint="eastAsia" w:ascii="宋体" w:hAnsi="宋体" w:eastAsia="宋体" w:cs="宋体"/>
      <w:color w:val="FF0000"/>
      <w:sz w:val="22"/>
      <w:szCs w:val="22"/>
      <w:u w:val="none"/>
    </w:rPr>
  </w:style>
  <w:style w:type="character" w:customStyle="1" w:styleId="12">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9</Pages>
  <Words>748</Words>
  <Characters>815</Characters>
  <Lines>54</Lines>
  <Paragraphs>15</Paragraphs>
  <TotalTime>59</TotalTime>
  <ScaleCrop>false</ScaleCrop>
  <LinksUpToDate>false</LinksUpToDate>
  <CharactersWithSpaces>830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2026-06-17T02:14:00Z</dcterms:created>
  <dc:creator>admin</dc:creator>
  <cp:lastModifiedBy>财务会计部</cp:lastModifiedBy>
  <dcterms:modified xsi:type="dcterms:W3CDTF">2026-10-12T01:36:03Z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8B6B0CDB490F42789E32060CDC4FADEB_13</vt:lpwstr>
  </property>
  <property fmtid="{D5CDD505-2E9C-101B-9397-08002B2CF9AE}" pid="4" name="KSOTemplateDocerSaveRecord">
    <vt:lpwstr>eyJoZGlkIjoiODE4MDc1NDRmMjQwMzQ2YTA0MjU4NTk1Yjk5MjRkMTYiLCJ1c2VySWQiOiIyOTMwMzc1MjkifQ==</vt:lpwstr>
  </property>
</Properties>
</file>