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5" w:type="dxa"/>
            <w:noWrap w:val="0"/>
            <w:vAlign w:val="center"/>
          </w:tcPr>
          <w:p>
            <w:pPr>
              <w:spacing w:line="440" w:lineRule="exact"/>
              <w:jc w:val="center"/>
              <w:rPr>
                <w:rFonts w:hint="eastAsia" w:ascii="仿宋" w:hAnsi="仿宋" w:eastAsia="仿宋"/>
                <w:b/>
                <w:bCs/>
                <w:color w:val="000000"/>
                <w:sz w:val="21"/>
                <w:szCs w:val="21"/>
              </w:rPr>
            </w:pPr>
            <w:r>
              <w:rPr>
                <w:rFonts w:hint="eastAsia" w:ascii="仿宋" w:hAnsi="仿宋" w:eastAsia="仿宋"/>
                <w:b/>
                <w:bCs/>
                <w:color w:val="000000"/>
                <w:sz w:val="21"/>
                <w:szCs w:val="21"/>
              </w:rPr>
              <w:t>序号</w:t>
            </w:r>
          </w:p>
        </w:tc>
        <w:tc>
          <w:tcPr>
            <w:tcW w:w="13947" w:type="dxa"/>
            <w:noWrap w:val="0"/>
            <w:vAlign w:val="center"/>
          </w:tcPr>
          <w:p>
            <w:pPr>
              <w:spacing w:line="440" w:lineRule="exact"/>
              <w:jc w:val="center"/>
              <w:rPr>
                <w:rFonts w:hint="eastAsia" w:ascii="仿宋" w:hAnsi="仿宋" w:eastAsia="仿宋"/>
                <w:b/>
                <w:bCs/>
                <w:color w:val="000000"/>
                <w:sz w:val="21"/>
                <w:szCs w:val="21"/>
              </w:rPr>
            </w:pPr>
            <w:r>
              <w:rPr>
                <w:rFonts w:hint="eastAsia" w:ascii="仿宋" w:hAnsi="仿宋" w:eastAsia="仿宋"/>
                <w:b/>
                <w:bCs/>
                <w:color w:val="000000"/>
                <w:sz w:val="21"/>
                <w:szCs w:val="21"/>
              </w:rPr>
              <w:t>原</w:t>
            </w:r>
            <w:r>
              <w:rPr>
                <w:rFonts w:hint="eastAsia" w:ascii="仿宋" w:hAnsi="仿宋" w:eastAsia="仿宋"/>
                <w:b/>
                <w:bCs/>
                <w:color w:val="000000"/>
                <w:sz w:val="21"/>
                <w:szCs w:val="21"/>
                <w:lang w:eastAsia="zh-CN"/>
              </w:rPr>
              <w:t>招标文件</w:t>
            </w:r>
            <w:r>
              <w:rPr>
                <w:rFonts w:ascii="仿宋" w:hAnsi="仿宋" w:eastAsia="仿宋"/>
                <w:b/>
                <w:bCs/>
                <w:color w:val="00000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5" w:type="dxa"/>
            <w:noWrap w:val="0"/>
            <w:vAlign w:val="center"/>
          </w:tcPr>
          <w:p>
            <w:pPr>
              <w:spacing w:line="440" w:lineRule="exact"/>
              <w:jc w:val="center"/>
              <w:rPr>
                <w:rFonts w:hint="eastAsia" w:ascii="仿宋" w:hAnsi="仿宋" w:eastAsia="仿宋"/>
                <w:b/>
                <w:bCs/>
                <w:color w:val="000000"/>
                <w:sz w:val="21"/>
                <w:szCs w:val="21"/>
              </w:rPr>
            </w:pPr>
            <w:r>
              <w:rPr>
                <w:rFonts w:hint="eastAsia" w:ascii="仿宋" w:hAnsi="仿宋" w:eastAsia="仿宋"/>
                <w:b/>
                <w:bCs/>
                <w:color w:val="000000"/>
                <w:sz w:val="21"/>
                <w:szCs w:val="21"/>
              </w:rPr>
              <w:t>1</w:t>
            </w:r>
          </w:p>
        </w:tc>
        <w:tc>
          <w:tcPr>
            <w:tcW w:w="13947" w:type="dxa"/>
            <w:noWrap w:val="0"/>
            <w:vAlign w:val="center"/>
          </w:tcPr>
          <w:p>
            <w:pPr>
              <w:spacing w:line="360" w:lineRule="auto"/>
              <w:ind w:firstLine="281" w:firstLineChars="100"/>
              <w:jc w:val="center"/>
              <w:rPr>
                <w:rFonts w:hint="default" w:ascii="仿宋" w:hAnsi="仿宋" w:eastAsia="仿宋"/>
                <w:b/>
                <w:bCs/>
                <w:color w:val="000000"/>
                <w:sz w:val="21"/>
                <w:szCs w:val="21"/>
                <w:lang w:val="en-US" w:eastAsia="zh-CN"/>
              </w:rPr>
            </w:pPr>
            <w:r>
              <w:rPr>
                <w:rFonts w:hint="default" w:ascii="仿宋" w:hAnsi="仿宋" w:eastAsia="仿宋"/>
                <w:b/>
                <w:bCs/>
                <w:color w:val="000000"/>
                <w:sz w:val="28"/>
                <w:szCs w:val="28"/>
                <w:lang w:val="en-US" w:eastAsia="zh-CN"/>
              </w:rPr>
              <w:t>第二章  招标项目采购需求</w:t>
            </w:r>
          </w:p>
          <w:p>
            <w:pPr>
              <w:pStyle w:val="4"/>
              <w:widowControl w:val="0"/>
              <w:tabs>
                <w:tab w:val="center" w:pos="4153"/>
                <w:tab w:val="right" w:pos="8306"/>
              </w:tabs>
              <w:snapToGrid w:val="0"/>
              <w:spacing w:before="0" w:beforeAutospacing="0" w:after="0" w:afterAutospacing="0" w:line="360" w:lineRule="auto"/>
              <w:ind w:firstLine="36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lang w:bidi="ar"/>
              </w:rPr>
              <w:t>四、</w:t>
            </w:r>
            <w:r>
              <w:rPr>
                <w:rFonts w:hint="eastAsia" w:ascii="仿宋" w:hAnsi="仿宋" w:eastAsia="仿宋" w:cs="仿宋"/>
                <w:b/>
                <w:color w:val="auto"/>
                <w:sz w:val="21"/>
                <w:szCs w:val="21"/>
                <w:highlight w:val="none"/>
                <w:lang w:val="en-US" w:eastAsia="zh-CN" w:bidi="ar"/>
              </w:rPr>
              <w:t>现场考察</w:t>
            </w:r>
            <w:r>
              <w:rPr>
                <w:rFonts w:hint="eastAsia" w:ascii="仿宋" w:hAnsi="仿宋" w:eastAsia="仿宋" w:cs="仿宋"/>
                <w:b/>
                <w:color w:val="auto"/>
                <w:sz w:val="21"/>
                <w:szCs w:val="21"/>
                <w:highlight w:val="none"/>
                <w:lang w:bidi="ar"/>
              </w:rPr>
              <w:t>：</w:t>
            </w:r>
            <w:r>
              <w:rPr>
                <w:rFonts w:hint="eastAsia" w:ascii="仿宋" w:hAnsi="仿宋" w:eastAsia="仿宋" w:cs="仿宋"/>
                <w:color w:val="auto"/>
                <w:kern w:val="2"/>
                <w:sz w:val="21"/>
                <w:szCs w:val="21"/>
                <w:highlight w:val="none"/>
                <w:lang w:bidi="ar"/>
              </w:rPr>
              <w:t>1.本项目招标人统一组织现场考察，供应商可在规定时间自愿到招标人指定地点进行现场考察，交通工具、费用由各供应商自行负责。逾时不予接待。未在规定时间到场考察的供应商将视为自动放弃现场考察的权利。现场考察需要携带的资料：法人或委托代理人须持单位介绍信原件、个人有效身份证原件前往以及能有效证明已经合法获取招标文件的资料（报名发票或收据等）。以上人员进行到场登记，未按要求提供材料的不予接待。</w:t>
            </w:r>
          </w:p>
          <w:tbl>
            <w:tblPr>
              <w:tblStyle w:val="6"/>
              <w:tblW w:w="100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48"/>
              <w:gridCol w:w="3950"/>
              <w:gridCol w:w="2333"/>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分包</w:t>
                  </w:r>
                </w:p>
              </w:tc>
              <w:tc>
                <w:tcPr>
                  <w:tcW w:w="74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考察对象</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考察日期</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考察时间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南宁安吉邮件处理中心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南宁航空邮件处理中心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桂林邮件处理中心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南宁玉洞中心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横州</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宾阳</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宾阳黎塘</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上林</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武鸣</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武鸣里建</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隆安</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马山</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柳江区分公司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柳城县分公司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融水县分公司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融安县分公司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三江县分公司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鹿寨县分公司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柳州市分公司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兴安县分公司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荔浦县分公司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平乐县分公司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灵川县分公司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灌阳县分公司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资源县分公司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临桂县分公司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阳朔县分公司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贵港市桂平邮件处理中心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贵港市平南邮件处理中心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玉林市博白、北流邮件处理中心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梧州市岑溪、藤县县邮件处理中心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11:00-12:00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金秀</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象州</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武宣</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合山</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忻城</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restart"/>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河池市市分公司</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宜州</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罗城</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环江</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南丹</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天峨</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东兰</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巴马</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凤山</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都安</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大化</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百色德保、靖西、那坡、凌云、田林、隆林、西林</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北海邮件处理中心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防城港市上思、东兴邮件处理中心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52</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贺州市富川县分公司邮件处理中心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53</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贺州市钟山县分公司邮件处理中心</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54</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崇左</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55</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扶绥</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56</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大新</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57</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龙州</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58</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宁明</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59</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凭祥</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60</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天等</w:t>
                  </w:r>
                </w:p>
              </w:tc>
              <w:tc>
                <w:tcPr>
                  <w:tcW w:w="23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8:30-10:00</w:t>
                  </w:r>
                </w:p>
              </w:tc>
            </w:tr>
          </w:tbl>
          <w:p>
            <w:pPr>
              <w:spacing w:line="440" w:lineRule="exact"/>
              <w:ind w:firstLine="211" w:firstLineChars="100"/>
              <w:jc w:val="center"/>
              <w:rPr>
                <w:rFonts w:hint="default" w:ascii="仿宋" w:hAnsi="仿宋" w:eastAsia="仿宋"/>
                <w:b/>
                <w:bCs/>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5" w:type="dxa"/>
            <w:noWrap w:val="0"/>
            <w:vAlign w:val="center"/>
          </w:tcPr>
          <w:p>
            <w:pPr>
              <w:spacing w:line="440" w:lineRule="exact"/>
              <w:jc w:val="center"/>
              <w:rPr>
                <w:rFonts w:hint="eastAsia" w:ascii="仿宋" w:hAnsi="仿宋" w:eastAsia="仿宋"/>
                <w:b/>
                <w:bCs/>
                <w:color w:val="000000"/>
                <w:sz w:val="21"/>
                <w:szCs w:val="21"/>
                <w:lang w:eastAsia="zh-CN"/>
              </w:rPr>
            </w:pPr>
            <w:r>
              <w:rPr>
                <w:rFonts w:hint="eastAsia" w:ascii="仿宋" w:hAnsi="仿宋" w:eastAsia="仿宋"/>
                <w:b/>
                <w:bCs/>
                <w:color w:val="000000"/>
                <w:sz w:val="21"/>
                <w:szCs w:val="21"/>
                <w:lang w:eastAsia="zh-CN"/>
              </w:rPr>
              <w:t>序号</w:t>
            </w:r>
          </w:p>
        </w:tc>
        <w:tc>
          <w:tcPr>
            <w:tcW w:w="13947" w:type="dxa"/>
            <w:noWrap w:val="0"/>
            <w:vAlign w:val="center"/>
          </w:tcPr>
          <w:p>
            <w:pPr>
              <w:spacing w:line="440" w:lineRule="exact"/>
              <w:ind w:firstLine="211" w:firstLineChars="100"/>
              <w:jc w:val="center"/>
              <w:rPr>
                <w:rFonts w:hint="default" w:ascii="仿宋" w:hAnsi="仿宋" w:eastAsia="仿宋"/>
                <w:b/>
                <w:bCs/>
                <w:color w:val="000000"/>
                <w:sz w:val="21"/>
                <w:szCs w:val="21"/>
                <w:lang w:val="en-US" w:eastAsia="zh-CN"/>
              </w:rPr>
            </w:pPr>
            <w:r>
              <w:rPr>
                <w:rFonts w:hint="eastAsia" w:ascii="仿宋" w:hAnsi="仿宋" w:eastAsia="仿宋"/>
                <w:b/>
                <w:bCs/>
                <w:color w:val="000000"/>
                <w:sz w:val="21"/>
                <w:szCs w:val="21"/>
                <w:lang w:val="en-US" w:eastAsia="zh-CN"/>
              </w:rPr>
              <w:t>更改后的内容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35" w:type="dxa"/>
            <w:noWrap w:val="0"/>
            <w:vAlign w:val="center"/>
          </w:tcPr>
          <w:p>
            <w:pPr>
              <w:spacing w:line="440" w:lineRule="exact"/>
              <w:jc w:val="center"/>
              <w:rPr>
                <w:rFonts w:hint="eastAsia" w:ascii="仿宋" w:hAnsi="仿宋" w:eastAsia="仿宋"/>
                <w:b/>
                <w:bCs/>
                <w:color w:val="000000"/>
                <w:sz w:val="21"/>
                <w:szCs w:val="21"/>
                <w:lang w:val="en-US" w:eastAsia="zh-CN"/>
              </w:rPr>
            </w:pPr>
            <w:r>
              <w:rPr>
                <w:rFonts w:hint="eastAsia" w:ascii="仿宋" w:hAnsi="仿宋" w:eastAsia="仿宋"/>
                <w:b/>
                <w:bCs/>
                <w:color w:val="000000"/>
                <w:sz w:val="21"/>
                <w:szCs w:val="21"/>
                <w:lang w:val="en-US" w:eastAsia="zh-CN"/>
              </w:rPr>
              <w:t>1</w:t>
            </w:r>
          </w:p>
        </w:tc>
        <w:tc>
          <w:tcPr>
            <w:tcW w:w="13947" w:type="dxa"/>
            <w:noWrap w:val="0"/>
            <w:vAlign w:val="center"/>
          </w:tcPr>
          <w:p>
            <w:pPr>
              <w:widowControl/>
              <w:spacing w:line="360" w:lineRule="auto"/>
              <w:ind w:firstLine="422" w:firstLineChars="200"/>
              <w:jc w:val="left"/>
              <w:outlineLvl w:val="1"/>
              <w:rPr>
                <w:rFonts w:hint="eastAsia" w:ascii="仿宋" w:hAnsi="仿宋" w:eastAsia="仿宋" w:cs="仿宋"/>
                <w:color w:val="auto"/>
                <w:szCs w:val="21"/>
                <w:highlight w:val="none"/>
              </w:rPr>
            </w:pPr>
            <w:r>
              <w:rPr>
                <w:rFonts w:hint="eastAsia" w:ascii="仿宋" w:hAnsi="仿宋" w:eastAsia="仿宋" w:cs="仿宋"/>
                <w:b/>
                <w:color w:val="auto"/>
                <w:szCs w:val="21"/>
                <w:highlight w:val="none"/>
                <w:lang w:bidi="ar"/>
              </w:rPr>
              <w:t>四、</w:t>
            </w:r>
            <w:r>
              <w:rPr>
                <w:rFonts w:hint="eastAsia" w:ascii="仿宋" w:hAnsi="仿宋" w:eastAsia="仿宋" w:cs="仿宋"/>
                <w:b/>
                <w:color w:val="auto"/>
                <w:szCs w:val="21"/>
                <w:highlight w:val="none"/>
                <w:lang w:val="en-US" w:eastAsia="zh-CN" w:bidi="ar"/>
              </w:rPr>
              <w:t>现场考察</w:t>
            </w:r>
            <w:r>
              <w:rPr>
                <w:rFonts w:hint="eastAsia" w:ascii="仿宋" w:hAnsi="仿宋" w:eastAsia="仿宋" w:cs="仿宋"/>
                <w:b/>
                <w:color w:val="auto"/>
                <w:szCs w:val="21"/>
                <w:highlight w:val="none"/>
                <w:lang w:bidi="ar"/>
              </w:rPr>
              <w:t>：</w:t>
            </w:r>
          </w:p>
          <w:p>
            <w:pPr>
              <w:pStyle w:val="4"/>
              <w:widowControl w:val="0"/>
              <w:tabs>
                <w:tab w:val="center" w:pos="4153"/>
                <w:tab w:val="right" w:pos="8306"/>
              </w:tabs>
              <w:snapToGrid w:val="0"/>
              <w:spacing w:before="0" w:beforeAutospacing="0" w:after="0" w:afterAutospacing="0" w:line="360" w:lineRule="auto"/>
              <w:ind w:firstLine="360"/>
              <w:rPr>
                <w:rFonts w:hint="eastAsia" w:ascii="仿宋" w:hAnsi="仿宋" w:eastAsia="仿宋" w:cs="仿宋"/>
                <w:b/>
                <w:bCs/>
                <w:color w:val="auto"/>
                <w:kern w:val="2"/>
                <w:sz w:val="21"/>
                <w:szCs w:val="21"/>
                <w:highlight w:val="none"/>
                <w:lang w:bidi="ar"/>
              </w:rPr>
            </w:pPr>
            <w:r>
              <w:rPr>
                <w:rFonts w:hint="eastAsia" w:ascii="仿宋" w:hAnsi="仿宋" w:eastAsia="仿宋" w:cs="仿宋"/>
                <w:b/>
                <w:bCs/>
                <w:color w:val="auto"/>
                <w:kern w:val="2"/>
                <w:sz w:val="21"/>
                <w:szCs w:val="21"/>
                <w:highlight w:val="none"/>
                <w:lang w:bidi="ar"/>
              </w:rPr>
              <w:t>1.本项目招标人统一组织现场考察，供应商可在规定时间自愿到招标人指定地点进行现场考察，交通工具、费用由各供应商自行负责。逾时不予接待。未在规定时间到场考察的供应商将视为自动放弃现场考察的权利。现场考察需要携带的资料：法人或委托代理人须持单位介绍信原件、个人有效身份证原件前往以及能有效证明已经合法获取招标文件的资料（报名发票或收据等）。以上人员进行到场登记，未按要求提供材料的不予接待。</w:t>
            </w:r>
          </w:p>
          <w:p>
            <w:pPr>
              <w:pStyle w:val="4"/>
              <w:widowControl w:val="0"/>
              <w:tabs>
                <w:tab w:val="center" w:pos="4153"/>
                <w:tab w:val="right" w:pos="8306"/>
              </w:tabs>
              <w:snapToGrid w:val="0"/>
              <w:spacing w:before="0" w:beforeAutospacing="0" w:after="0" w:afterAutospacing="0" w:line="360" w:lineRule="auto"/>
              <w:ind w:firstLine="360"/>
              <w:rPr>
                <w:rFonts w:hint="default" w:ascii="仿宋" w:hAnsi="仿宋" w:eastAsia="仿宋" w:cs="仿宋"/>
                <w:b/>
                <w:bCs/>
                <w:color w:val="auto"/>
                <w:sz w:val="21"/>
                <w:szCs w:val="21"/>
                <w:highlight w:val="none"/>
                <w:lang w:val="en-US" w:eastAsia="zh-CN"/>
              </w:rPr>
            </w:pPr>
            <w:r>
              <w:rPr>
                <w:rFonts w:hint="eastAsia" w:ascii="仿宋" w:hAnsi="仿宋" w:eastAsia="仿宋" w:cs="仿宋"/>
                <w:b/>
                <w:bCs/>
                <w:color w:val="auto"/>
                <w:kern w:val="2"/>
                <w:sz w:val="21"/>
                <w:szCs w:val="21"/>
                <w:highlight w:val="none"/>
                <w:lang w:val="en-US" w:eastAsia="zh-CN" w:bidi="ar"/>
              </w:rPr>
              <w:t>2.本项目设置两轮现场考察。两轮考察的组织方式、考察内容完全相同，投标人可按需自主统筹工作计划、选派相关人员自主选定任意一轮、任意或全部场地参与考察，不强制要求全部场地、全部场次都到场。</w:t>
            </w:r>
          </w:p>
          <w:tbl>
            <w:tblPr>
              <w:tblStyle w:val="6"/>
              <w:tblW w:w="121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3"/>
              <w:gridCol w:w="3446"/>
              <w:gridCol w:w="2576"/>
              <w:gridCol w:w="259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分包</w:t>
                  </w:r>
                </w:p>
              </w:tc>
              <w:tc>
                <w:tcPr>
                  <w:tcW w:w="7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序号</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考察对象</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eastAsia="zh-CN" w:bidi="ar"/>
                    </w:rPr>
                    <w:t>第一轮</w:t>
                  </w:r>
                  <w:r>
                    <w:rPr>
                      <w:rFonts w:hint="eastAsia" w:ascii="仿宋" w:hAnsi="仿宋" w:eastAsia="仿宋" w:cs="仿宋"/>
                      <w:color w:val="auto"/>
                      <w:sz w:val="21"/>
                      <w:szCs w:val="21"/>
                      <w:highlight w:val="none"/>
                      <w:lang w:bidi="ar"/>
                    </w:rPr>
                    <w:t>考察日期</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eastAsia="zh-CN" w:bidi="ar"/>
                    </w:rPr>
                    <w:t>第二轮</w:t>
                  </w:r>
                  <w:r>
                    <w:rPr>
                      <w:rFonts w:hint="eastAsia" w:ascii="仿宋" w:hAnsi="仿宋" w:eastAsia="仿宋" w:cs="仿宋"/>
                      <w:color w:val="auto"/>
                      <w:sz w:val="21"/>
                      <w:szCs w:val="21"/>
                      <w:highlight w:val="none"/>
                      <w:lang w:bidi="ar"/>
                    </w:rPr>
                    <w:t>考察日期</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考察时间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南宁安吉邮件处理中心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南宁航空邮件处理中心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桂林邮件处理中心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南宁玉洞中心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横州</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宾阳</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宾阳黎塘</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上林</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武鸣</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武鸣里建</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隆安</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color w:val="auto"/>
                      <w:kern w:val="0"/>
                      <w:sz w:val="21"/>
                      <w:szCs w:val="21"/>
                      <w:highlight w:val="none"/>
                      <w:u w:val="none"/>
                      <w:lang w:val="en-US" w:eastAsia="zh-CN" w:bidi="ar"/>
                    </w:rPr>
                    <w:t>12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马山</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柳江区分公司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柳城县分公司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融水县分公司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融安县分公司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三江县分公司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鹿寨县分公司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19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柳州市分公司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兴安县分公司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荔浦县分公司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平乐县分公司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灵川县分公司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灌阳县分公司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资源县分公司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临桂县分公司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pStyle w:val="8"/>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阳朔县分公司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29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贵港市桂平邮件处理中心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14:30-16:00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贵港市平南邮件处理中心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16:30-18:00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玉林市博白、北流邮件处理中心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梧州市岑溪、藤县县邮件处理中心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11:00-12:00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金秀</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象州</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武宣</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合山</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忻城</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restart"/>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河池市市分公司</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39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宜州</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罗城</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环江</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南丹</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2026年6月9日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2026年6月12日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天峨</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东兰</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巴马</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凤山</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都安</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大化</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2026年6月10日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2026年6月13日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49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百色德保、靖西、那坡、凌云、田林、隆林、西林</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kern w:val="2"/>
                      <w:sz w:val="21"/>
                      <w:szCs w:val="21"/>
                      <w:highlight w:val="none"/>
                      <w:lang w:bidi="ar"/>
                    </w:rPr>
                  </w:pPr>
                  <w:r>
                    <w:rPr>
                      <w:rFonts w:hint="eastAsia" w:ascii="仿宋" w:hAnsi="仿宋" w:eastAsia="仿宋" w:cs="仿宋"/>
                      <w:i w:val="0"/>
                      <w:iCs w:val="0"/>
                      <w:color w:val="auto"/>
                      <w:kern w:val="2"/>
                      <w:sz w:val="21"/>
                      <w:szCs w:val="21"/>
                      <w:highlight w:val="none"/>
                      <w:u w:val="none"/>
                      <w:lang w:val="en-US" w:eastAsia="zh-CN" w:bidi="ar"/>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北海邮件处理中心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51</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防城港市上思、东兴邮件处理中心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52</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贺州市富川县分公司邮件处理中心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53</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贺州市钟山县分公司邮件处理中心</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54</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崇左</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55</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扶绥</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10:00-11:00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56</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大新</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11:30-12:00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57</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龙州</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14:30-15:30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58</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宁明</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59</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凭祥</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2026年6月11日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17:30-18:00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7" w:type="dxa"/>
                  <w:vMerge w:val="continue"/>
                  <w:tcBorders>
                    <w:left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i w:val="0"/>
                      <w:iCs w:val="0"/>
                      <w:color w:val="auto"/>
                      <w:kern w:val="0"/>
                      <w:sz w:val="21"/>
                      <w:szCs w:val="21"/>
                      <w:highlight w:val="none"/>
                      <w:u w:val="none"/>
                      <w:lang w:val="en-US" w:eastAsia="zh-CN" w:bidi="ar"/>
                    </w:rPr>
                    <w:t>60</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天等</w:t>
                  </w:r>
                </w:p>
              </w:tc>
              <w:tc>
                <w:tcPr>
                  <w:tcW w:w="2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2026年6月</w:t>
                  </w:r>
                  <w:r>
                    <w:rPr>
                      <w:rFonts w:hint="eastAsia" w:eastAsia="仿宋"/>
                      <w:highlight w:val="none"/>
                      <w:lang w:val="en-US" w:eastAsia="zh-CN"/>
                    </w:rPr>
                    <w:t>9</w:t>
                  </w:r>
                  <w:r>
                    <w:rPr>
                      <w:rFonts w:hint="eastAsia" w:ascii="仿宋" w:hAnsi="仿宋" w:eastAsia="仿宋" w:cs="仿宋"/>
                      <w:i w:val="0"/>
                      <w:iCs w:val="0"/>
                      <w:color w:val="auto"/>
                      <w:kern w:val="2"/>
                      <w:sz w:val="21"/>
                      <w:szCs w:val="21"/>
                      <w:highlight w:val="none"/>
                      <w:u w:val="none"/>
                      <w:lang w:val="en-US" w:eastAsia="zh-CN" w:bidi="ar"/>
                    </w:rPr>
                    <w:t>日</w:t>
                  </w:r>
                </w:p>
              </w:tc>
              <w:tc>
                <w:tcPr>
                  <w:tcW w:w="25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i w:val="0"/>
                      <w:iCs w:val="0"/>
                      <w:color w:val="auto"/>
                      <w:kern w:val="2"/>
                      <w:sz w:val="21"/>
                      <w:szCs w:val="21"/>
                      <w:highlight w:val="none"/>
                      <w:u w:val="none"/>
                      <w:lang w:val="en-US" w:eastAsia="zh-CN" w:bidi="ar"/>
                    </w:rPr>
                  </w:pPr>
                  <w:r>
                    <w:rPr>
                      <w:rFonts w:hint="eastAsia" w:ascii="仿宋" w:hAnsi="仿宋" w:eastAsia="仿宋" w:cs="仿宋"/>
                      <w:i w:val="0"/>
                      <w:iCs w:val="0"/>
                      <w:color w:val="auto"/>
                      <w:kern w:val="2"/>
                      <w:sz w:val="21"/>
                      <w:szCs w:val="21"/>
                      <w:highlight w:val="none"/>
                      <w:u w:val="none"/>
                      <w:lang w:val="en-US" w:eastAsia="zh-CN" w:bidi="ar"/>
                    </w:rPr>
                    <w:t>2026年6月14日</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color w:val="auto"/>
                      <w:kern w:val="2"/>
                      <w:sz w:val="21"/>
                      <w:szCs w:val="21"/>
                      <w:highlight w:val="none"/>
                      <w:u w:val="none"/>
                      <w:lang w:val="en-US" w:eastAsia="zh-CN" w:bidi="ar"/>
                    </w:rPr>
                    <w:t>8:30-10:00</w:t>
                  </w:r>
                </w:p>
              </w:tc>
            </w:tr>
          </w:tbl>
          <w:p/>
          <w:p>
            <w:pPr>
              <w:spacing w:line="440" w:lineRule="exact"/>
              <w:jc w:val="both"/>
              <w:rPr>
                <w:rFonts w:hint="eastAsia" w:ascii="仿宋" w:hAnsi="仿宋" w:eastAsia="仿宋" w:cs="仿宋"/>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82" w:type="dxa"/>
            <w:gridSpan w:val="2"/>
            <w:noWrap w:val="0"/>
            <w:vAlign w:val="center"/>
          </w:tcPr>
          <w:p>
            <w:pPr>
              <w:spacing w:line="440" w:lineRule="exact"/>
              <w:ind w:firstLine="211" w:firstLineChars="100"/>
              <w:jc w:val="center"/>
              <w:rPr>
                <w:rFonts w:hint="eastAsia" w:ascii="仿宋" w:hAnsi="仿宋" w:eastAsia="仿宋" w:cs="仿宋"/>
                <w:bCs/>
                <w:color w:val="auto"/>
                <w:sz w:val="21"/>
                <w:szCs w:val="21"/>
                <w:lang w:eastAsia="zh-CN"/>
              </w:rPr>
            </w:pPr>
            <w:r>
              <w:rPr>
                <w:rFonts w:hint="eastAsia" w:ascii="仿宋" w:hAnsi="仿宋" w:eastAsia="仿宋"/>
                <w:b/>
                <w:color w:val="000000"/>
                <w:sz w:val="21"/>
                <w:szCs w:val="21"/>
                <w:lang w:eastAsia="zh-CN"/>
              </w:rPr>
              <w:t>本次更改只对现场考察日期作出更改，其他内容无改动。</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6A7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table of figures"/>
    <w:basedOn w:val="1"/>
    <w:next w:val="1"/>
    <w:qFormat/>
    <w:uiPriority w:val="0"/>
    <w:pPr>
      <w:ind w:left="400" w:leftChars="200" w:hanging="200" w:hangingChars="200"/>
    </w:pPr>
  </w:style>
  <w:style w:type="paragraph" w:styleId="4">
    <w:name w:val="Normal (Web)"/>
    <w:basedOn w:val="1"/>
    <w:qFormat/>
    <w:uiPriority w:val="99"/>
    <w:pPr>
      <w:widowControl/>
      <w:spacing w:before="100" w:beforeAutospacing="1" w:after="100" w:afterAutospacing="1"/>
      <w:jc w:val="left"/>
    </w:pPr>
    <w:rPr>
      <w:rFonts w:ascii="Tahoma" w:hAnsi="Tahoma" w:eastAsia="Tahoma" w:cs="Verdana"/>
      <w:kern w:val="0"/>
      <w:sz w:val="24"/>
      <w:szCs w:val="24"/>
    </w:rPr>
  </w:style>
  <w:style w:type="paragraph" w:styleId="5">
    <w:name w:val="Title"/>
    <w:basedOn w:val="1"/>
    <w:next w:val="1"/>
    <w:qFormat/>
    <w:uiPriority w:val="0"/>
    <w:pPr>
      <w:jc w:val="center"/>
    </w:pPr>
    <w:rPr>
      <w:rFonts w:ascii="等线" w:hAnsi="等线" w:eastAsia="Tahoma"/>
      <w:kern w:val="0"/>
      <w:sz w:val="30"/>
      <w:szCs w:val="24"/>
    </w:rPr>
  </w:style>
  <w:style w:type="paragraph" w:customStyle="1" w:styleId="8">
    <w:name w:val="Default"/>
    <w:basedOn w:val="5"/>
    <w:next w:val="3"/>
    <w:qFormat/>
    <w:uiPriority w:val="99"/>
    <w:pPr>
      <w:widowControl w:val="0"/>
      <w:autoSpaceDE w:val="0"/>
      <w:autoSpaceDN w:val="0"/>
      <w:adjustRightInd w:val="0"/>
    </w:pPr>
    <w:rPr>
      <w:rFonts w:ascii="Tahoma" w:cs="Tahoma"/>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2026-06-05T08:59:26Z</dcterms:created>
  <dc:creator>Administrator</dc:creator>
  <cp:lastModifiedBy>Administrator</cp:lastModifiedBy>
  <dcterms:modified xsi:type="dcterms:W3CDTF">2026-06-05T08:59:58Z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