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6E80D">
      <w:pPr>
        <w:spacing w:line="360" w:lineRule="auto"/>
        <w:jc w:val="center"/>
        <w:rPr>
          <w:rFonts w:ascii="彩虹小标宋" w:hAnsi="宋体" w:eastAsia="彩虹小标宋" w:cs="Times New Roman"/>
          <w:bCs/>
          <w:snapToGrid w:val="0"/>
          <w:kern w:val="0"/>
          <w:sz w:val="44"/>
          <w:szCs w:val="44"/>
        </w:rPr>
      </w:pPr>
      <w:r>
        <w:rPr>
          <w:rFonts w:hint="eastAsia" w:ascii="彩虹小标宋" w:eastAsia="彩虹小标宋"/>
          <w:bCs/>
          <w:sz w:val="44"/>
          <w:szCs w:val="44"/>
        </w:rPr>
        <w:t>全辖</w:t>
      </w:r>
      <w:r>
        <w:rPr>
          <w:rFonts w:hint="eastAsia" w:ascii="彩虹小标宋" w:hAnsi="宋体" w:eastAsia="彩虹小标宋" w:cs="Times New Roman"/>
          <w:bCs/>
          <w:snapToGrid w:val="0"/>
          <w:kern w:val="0"/>
          <w:sz w:val="44"/>
          <w:szCs w:val="44"/>
        </w:rPr>
        <w:t>城区自助柜员机运营外包服务</w:t>
      </w:r>
    </w:p>
    <w:p w14:paraId="65C8C5A4">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采购需求</w:t>
      </w:r>
    </w:p>
    <w:p w14:paraId="6B693920">
      <w:pPr>
        <w:spacing w:line="360" w:lineRule="auto"/>
        <w:jc w:val="center"/>
        <w:rPr>
          <w:rFonts w:ascii="彩虹小标宋" w:hAnsi="宋体" w:eastAsia="彩虹小标宋" w:cs="Times New Roman"/>
          <w:bCs/>
          <w:snapToGrid w:val="0"/>
          <w:kern w:val="0"/>
          <w:sz w:val="32"/>
          <w:szCs w:val="32"/>
        </w:rPr>
      </w:pPr>
    </w:p>
    <w:p w14:paraId="5D675DB0">
      <w:pPr>
        <w:numPr>
          <w:ilvl w:val="0"/>
          <w:numId w:val="1"/>
        </w:numPr>
        <w:spacing w:line="360" w:lineRule="auto"/>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服务内容</w:t>
      </w:r>
    </w:p>
    <w:p w14:paraId="4C369644">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本次采购全辖城区支行自助柜员机运营外包服务，自助柜员机（以下简称“设备”）运营主要是指：</w:t>
      </w:r>
    </w:p>
    <w:p w14:paraId="6EBA660D">
      <w:pPr>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kern w:val="0"/>
          <w:sz w:val="32"/>
          <w:szCs w:val="32"/>
        </w:rPr>
        <w:t>主要是自助柜员机（含存取款一体机、升级版自助柜员机等）清机加钞（含押运）、日常维护（清理吞卡、清理卡钞、更换打印纸、设备简易排障）等工作。</w:t>
      </w:r>
    </w:p>
    <w:p w14:paraId="177BC930">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本次采购采用框架</w:t>
      </w:r>
      <w:r>
        <w:rPr>
          <w:rFonts w:hint="eastAsia" w:ascii="彩虹粗仿宋" w:hAnsi="宋体" w:eastAsia="彩虹粗仿宋" w:cs="Times New Roman"/>
          <w:snapToGrid w:val="0"/>
          <w:kern w:val="0"/>
          <w:sz w:val="32"/>
          <w:szCs w:val="32"/>
        </w:rPr>
        <w:t>合同</w:t>
      </w:r>
      <w:r>
        <w:rPr>
          <w:rFonts w:ascii="彩虹粗仿宋" w:hAnsi="宋体" w:eastAsia="彩虹粗仿宋" w:cs="Times New Roman"/>
          <w:snapToGrid w:val="0"/>
          <w:kern w:val="0"/>
          <w:sz w:val="32"/>
          <w:szCs w:val="32"/>
        </w:rPr>
        <w:t>加订单方式</w:t>
      </w:r>
      <w:r>
        <w:rPr>
          <w:rFonts w:hint="eastAsia" w:ascii="彩虹粗仿宋" w:hAnsi="宋体" w:eastAsia="彩虹粗仿宋" w:cs="Times New Roman"/>
          <w:snapToGrid w:val="0"/>
          <w:kern w:val="0"/>
          <w:sz w:val="32"/>
          <w:szCs w:val="32"/>
        </w:rPr>
        <w:t>，</w:t>
      </w:r>
      <w:r>
        <w:rPr>
          <w:rFonts w:ascii="彩虹粗仿宋" w:hAnsi="宋体" w:eastAsia="彩虹粗仿宋" w:cs="Times New Roman"/>
          <w:snapToGrid w:val="0"/>
          <w:kern w:val="0"/>
          <w:sz w:val="32"/>
          <w:szCs w:val="32"/>
        </w:rPr>
        <w:t>合同期限</w:t>
      </w:r>
      <w:r>
        <w:rPr>
          <w:rFonts w:hint="eastAsia" w:ascii="彩虹粗仿宋" w:hAnsi="宋体" w:eastAsia="彩虹粗仿宋" w:cs="Times New Roman"/>
          <w:snapToGrid w:val="0"/>
          <w:kern w:val="0"/>
          <w:sz w:val="32"/>
          <w:szCs w:val="32"/>
        </w:rPr>
        <w:t>一</w:t>
      </w:r>
      <w:r>
        <w:rPr>
          <w:rFonts w:ascii="彩虹粗仿宋" w:hAnsi="宋体" w:eastAsia="彩虹粗仿宋" w:cs="Times New Roman"/>
          <w:snapToGrid w:val="0"/>
          <w:kern w:val="0"/>
          <w:sz w:val="32"/>
          <w:szCs w:val="32"/>
        </w:rPr>
        <w:t>年</w:t>
      </w:r>
      <w:r>
        <w:rPr>
          <w:rFonts w:hint="eastAsia" w:ascii="彩虹粗仿宋" w:hAnsi="宋体" w:eastAsia="彩虹粗仿宋" w:cs="Times New Roman"/>
          <w:snapToGrid w:val="0"/>
          <w:kern w:val="0"/>
          <w:sz w:val="32"/>
          <w:szCs w:val="32"/>
        </w:rPr>
        <w:t>。</w:t>
      </w:r>
    </w:p>
    <w:p w14:paraId="404F74D5">
      <w:pPr>
        <w:numPr>
          <w:ilvl w:val="0"/>
          <w:numId w:val="1"/>
        </w:numPr>
        <w:spacing w:line="360" w:lineRule="auto"/>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服务供应商要求</w:t>
      </w:r>
    </w:p>
    <w:p w14:paraId="3FAA491E">
      <w:pPr>
        <w:pStyle w:val="13"/>
        <w:numPr>
          <w:ilvl w:val="0"/>
          <w:numId w:val="2"/>
        </w:numPr>
        <w:spacing w:line="360" w:lineRule="auto"/>
        <w:ind w:left="0" w:firstLine="640" w:firstLineChars="0"/>
        <w:rPr>
          <w:rFonts w:ascii="彩虹粗仿宋" w:hAnsi="宋体" w:eastAsia="彩虹粗仿宋" w:cs="Times New Roman"/>
          <w:bCs/>
          <w:snapToGrid w:val="0"/>
          <w:color w:val="auto"/>
          <w:kern w:val="0"/>
          <w:sz w:val="32"/>
          <w:szCs w:val="32"/>
        </w:rPr>
      </w:pPr>
      <w:r>
        <w:rPr>
          <w:rFonts w:hint="eastAsia" w:ascii="彩虹粗仿宋" w:hAnsi="宋体" w:eastAsia="彩虹粗仿宋" w:cs="Times New Roman"/>
          <w:bCs/>
          <w:snapToGrid w:val="0"/>
          <w:kern w:val="0"/>
          <w:sz w:val="32"/>
          <w:szCs w:val="32"/>
        </w:rPr>
        <w:t>投标人须是在中华人民共和国境内注册的独立法人或其他组织（如是分支机构，则须提供具备独立法人资格的上级机构授权证明），提供合法有效的营业执照或</w:t>
      </w:r>
      <w:r>
        <w:rPr>
          <w:rFonts w:hint="eastAsia" w:ascii="彩虹粗仿宋" w:hAnsi="宋体" w:eastAsia="彩虹粗仿宋" w:cs="Times New Roman"/>
          <w:bCs/>
          <w:snapToGrid w:val="0"/>
          <w:color w:val="auto"/>
          <w:kern w:val="0"/>
          <w:sz w:val="32"/>
          <w:szCs w:val="32"/>
        </w:rPr>
        <w:t>注册登记文件，</w:t>
      </w:r>
      <w:r>
        <w:rPr>
          <w:rFonts w:ascii="彩虹粗仿宋" w:hAnsi="宋体" w:eastAsia="彩虹粗仿宋" w:cs="Times New Roman"/>
          <w:bCs/>
          <w:snapToGrid w:val="0"/>
          <w:color w:val="auto"/>
          <w:kern w:val="0"/>
          <w:sz w:val="32"/>
          <w:szCs w:val="32"/>
        </w:rPr>
        <w:t>具备</w:t>
      </w:r>
      <w:r>
        <w:rPr>
          <w:rFonts w:hint="eastAsia" w:ascii="彩虹粗仿宋" w:hAnsi="宋体" w:eastAsia="彩虹粗仿宋" w:cs="Times New Roman"/>
          <w:bCs/>
          <w:snapToGrid w:val="0"/>
          <w:color w:val="auto"/>
          <w:kern w:val="0"/>
          <w:sz w:val="32"/>
          <w:szCs w:val="32"/>
        </w:rPr>
        <w:t>类似“接受金融机构委托从事金融业务流程外包服务”或“受银行委托从事银行自助设备配钞、维保服务，现金清分服务”等相关</w:t>
      </w:r>
      <w:r>
        <w:rPr>
          <w:rFonts w:ascii="彩虹粗仿宋" w:hAnsi="宋体" w:eastAsia="彩虹粗仿宋" w:cs="Times New Roman"/>
          <w:bCs/>
          <w:snapToGrid w:val="0"/>
          <w:color w:val="auto"/>
          <w:kern w:val="0"/>
          <w:sz w:val="32"/>
          <w:szCs w:val="32"/>
        </w:rPr>
        <w:t>资质</w:t>
      </w:r>
      <w:r>
        <w:rPr>
          <w:rFonts w:hint="eastAsia" w:ascii="彩虹粗仿宋" w:hAnsi="宋体" w:eastAsia="彩虹粗仿宋" w:cs="Times New Roman"/>
          <w:bCs/>
          <w:snapToGrid w:val="0"/>
          <w:color w:val="auto"/>
          <w:kern w:val="0"/>
          <w:sz w:val="32"/>
          <w:szCs w:val="32"/>
        </w:rPr>
        <w:t>。</w:t>
      </w:r>
    </w:p>
    <w:p w14:paraId="1D7F4BBC">
      <w:pPr>
        <w:pStyle w:val="13"/>
        <w:numPr>
          <w:ilvl w:val="0"/>
          <w:numId w:val="2"/>
        </w:numPr>
        <w:spacing w:line="360" w:lineRule="auto"/>
        <w:ind w:left="0" w:firstLine="640" w:firstLineChars="0"/>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投标人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p>
    <w:p w14:paraId="556B9046">
      <w:pPr>
        <w:pStyle w:val="13"/>
        <w:numPr>
          <w:ilvl w:val="0"/>
          <w:numId w:val="2"/>
        </w:numPr>
        <w:spacing w:line="360" w:lineRule="auto"/>
        <w:ind w:left="0" w:firstLine="640" w:firstLineChars="0"/>
        <w:rPr>
          <w:rFonts w:ascii="彩虹粗仿宋" w:hAnsi="宋体" w:eastAsia="彩虹粗仿宋" w:cs="Times New Roman"/>
          <w:bCs/>
          <w:snapToGrid w:val="0"/>
          <w:color w:val="auto"/>
          <w:kern w:val="0"/>
          <w:sz w:val="32"/>
          <w:szCs w:val="32"/>
        </w:rPr>
      </w:pPr>
      <w:r>
        <w:rPr>
          <w:rFonts w:ascii="彩虹粗仿宋" w:hAnsi="宋体" w:eastAsia="彩虹粗仿宋" w:cs="Times New Roman"/>
          <w:bCs/>
          <w:snapToGrid w:val="0"/>
          <w:color w:val="auto"/>
          <w:kern w:val="0"/>
          <w:sz w:val="32"/>
          <w:szCs w:val="32"/>
        </w:rPr>
        <w:t>本项目不接受</w:t>
      </w:r>
      <w:r>
        <w:rPr>
          <w:rFonts w:hint="eastAsia" w:ascii="彩虹粗仿宋" w:hAnsi="宋体" w:eastAsia="彩虹粗仿宋" w:cs="Times New Roman"/>
          <w:bCs/>
          <w:snapToGrid w:val="0"/>
          <w:color w:val="auto"/>
          <w:kern w:val="0"/>
          <w:sz w:val="32"/>
          <w:szCs w:val="32"/>
        </w:rPr>
        <w:t>联合体投标。除在押运</w:t>
      </w:r>
      <w:r>
        <w:rPr>
          <w:rFonts w:ascii="彩虹粗仿宋" w:hAnsi="宋体" w:eastAsia="彩虹粗仿宋" w:cs="Times New Roman"/>
          <w:bCs/>
          <w:snapToGrid w:val="0"/>
          <w:color w:val="auto"/>
          <w:kern w:val="0"/>
          <w:sz w:val="32"/>
          <w:szCs w:val="32"/>
        </w:rPr>
        <w:t>环节允许与押运公司合作</w:t>
      </w:r>
      <w:r>
        <w:rPr>
          <w:rFonts w:hint="eastAsia" w:ascii="彩虹粗仿宋" w:hAnsi="宋体" w:eastAsia="彩虹粗仿宋" w:cs="Times New Roman"/>
          <w:bCs/>
          <w:snapToGrid w:val="0"/>
          <w:color w:val="auto"/>
          <w:kern w:val="0"/>
          <w:sz w:val="32"/>
          <w:szCs w:val="32"/>
        </w:rPr>
        <w:t>，不允许其他任何形式的分包或转包行为。</w:t>
      </w:r>
    </w:p>
    <w:p w14:paraId="5CF3AC9B">
      <w:pPr>
        <w:pStyle w:val="13"/>
        <w:numPr>
          <w:ilvl w:val="0"/>
          <w:numId w:val="2"/>
        </w:numPr>
        <w:spacing w:line="360" w:lineRule="auto"/>
        <w:ind w:left="0" w:firstLine="640" w:firstLineChars="0"/>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投标人在投标有效期内未处于建设银行供应商禁用、停用期内。</w:t>
      </w:r>
    </w:p>
    <w:p w14:paraId="4F1C2F62">
      <w:pPr>
        <w:pStyle w:val="13"/>
        <w:numPr>
          <w:ilvl w:val="0"/>
          <w:numId w:val="2"/>
        </w:numPr>
        <w:spacing w:line="360" w:lineRule="auto"/>
        <w:ind w:left="0" w:firstLine="640" w:firstLineChars="0"/>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投标人须承诺，如果在本项目招标过程中出现下列情形，招标人有权取消其投标或中标资格且无须承担任何法律后果，具体情形包括但不限于：</w:t>
      </w:r>
    </w:p>
    <w:p w14:paraId="679F1DB7">
      <w:pPr>
        <w:spacing w:line="360" w:lineRule="auto"/>
        <w:ind w:left="-2" w:leftChars="-1" w:firstLine="646" w:firstLineChars="202"/>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1.法定代表人在生产经营活动中受到刑事处罚；</w:t>
      </w:r>
    </w:p>
    <w:p w14:paraId="4E700C42">
      <w:pPr>
        <w:spacing w:line="360" w:lineRule="auto"/>
        <w:ind w:left="-2" w:leftChars="-1" w:firstLine="646" w:firstLineChars="202"/>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2.出现重大并购或重组，影响正常生产经营；</w:t>
      </w:r>
    </w:p>
    <w:p w14:paraId="445331CF">
      <w:pPr>
        <w:spacing w:line="360" w:lineRule="auto"/>
        <w:ind w:left="-2" w:leftChars="-1" w:firstLine="646" w:firstLineChars="202"/>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3.出现其他重大风险事项，影响正常采购合作。</w:t>
      </w:r>
    </w:p>
    <w:p w14:paraId="67DE434D">
      <w:pPr>
        <w:pStyle w:val="13"/>
        <w:numPr>
          <w:ilvl w:val="0"/>
          <w:numId w:val="2"/>
        </w:numPr>
        <w:spacing w:line="360" w:lineRule="auto"/>
        <w:ind w:left="0" w:firstLine="640" w:firstLineChars="0"/>
        <w:rPr>
          <w:rFonts w:ascii="彩虹粗仿宋" w:hAnsi="宋体" w:eastAsia="彩虹粗仿宋" w:cs="Times New Roman"/>
          <w:bCs/>
          <w:snapToGrid w:val="0"/>
          <w:color w:val="auto"/>
          <w:kern w:val="0"/>
          <w:sz w:val="32"/>
          <w:szCs w:val="32"/>
        </w:rPr>
      </w:pPr>
      <w:r>
        <w:rPr>
          <w:rFonts w:hint="eastAsia" w:ascii="彩虹粗仿宋" w:hAnsi="宋体" w:eastAsia="彩虹粗仿宋" w:cs="Times New Roman"/>
          <w:bCs/>
          <w:snapToGrid w:val="0"/>
          <w:color w:val="auto"/>
          <w:kern w:val="0"/>
          <w:sz w:val="32"/>
          <w:szCs w:val="32"/>
        </w:rPr>
        <w:t>法定代表人/单位负责人为同一人或存在控股、管理关系的不同单位，不得参加同一标段投标或未划分标段的同一招标项目投标。</w:t>
      </w:r>
    </w:p>
    <w:p w14:paraId="1A3B0219">
      <w:pPr>
        <w:numPr>
          <w:ilvl w:val="0"/>
          <w:numId w:val="1"/>
        </w:numPr>
        <w:spacing w:line="360" w:lineRule="auto"/>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服务质量要求</w:t>
      </w:r>
    </w:p>
    <w:p w14:paraId="26D8159C">
      <w:pPr>
        <w:spacing w:line="360" w:lineRule="auto"/>
        <w:ind w:firstLine="643" w:firstLineChars="200"/>
        <w:rPr>
          <w:rFonts w:ascii="彩虹楷体" w:hAnsi="彩虹楷体" w:eastAsia="彩虹楷体" w:cs="彩虹楷体"/>
          <w:b/>
          <w:snapToGrid w:val="0"/>
          <w:kern w:val="0"/>
          <w:sz w:val="32"/>
          <w:szCs w:val="32"/>
        </w:rPr>
      </w:pPr>
      <w:r>
        <w:rPr>
          <w:rFonts w:hint="eastAsia" w:ascii="彩虹楷体" w:hAnsi="彩虹楷体" w:eastAsia="彩虹楷体" w:cs="彩虹楷体"/>
          <w:b/>
          <w:snapToGrid w:val="0"/>
          <w:kern w:val="0"/>
          <w:sz w:val="32"/>
          <w:szCs w:val="32"/>
        </w:rPr>
        <w:t>（一）服务内容</w:t>
      </w:r>
    </w:p>
    <w:p w14:paraId="01B320CC">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rPr>
        <w:t>清机加钞（含押运）服务</w:t>
      </w:r>
    </w:p>
    <w:p w14:paraId="71E5413F">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（1）根据招标人设备调度人员的加钞计划表清点交接钞箱；</w:t>
      </w:r>
    </w:p>
    <w:p w14:paraId="48036280">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（2）设备加卸钞（换箱操作），清点钞箱外卡钞；</w:t>
      </w:r>
    </w:p>
    <w:p w14:paraId="52C0ADEA">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（3）清理吞没卡，送交指定处理网点和部门；</w:t>
      </w:r>
    </w:p>
    <w:p w14:paraId="3963C14D">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（4）完成清机</w:t>
      </w:r>
      <w:r>
        <w:rPr>
          <w:rFonts w:ascii="彩虹粗仿宋" w:hAnsi="宋体" w:eastAsia="彩虹粗仿宋" w:cs="Times New Roman"/>
          <w:snapToGrid w:val="0"/>
          <w:color w:val="auto"/>
          <w:kern w:val="0"/>
          <w:sz w:val="32"/>
          <w:szCs w:val="32"/>
        </w:rPr>
        <w:t>加钞</w:t>
      </w:r>
      <w:r>
        <w:rPr>
          <w:rFonts w:hint="eastAsia" w:ascii="彩虹粗仿宋" w:hAnsi="宋体" w:eastAsia="彩虹粗仿宋" w:cs="Times New Roman"/>
          <w:snapToGrid w:val="0"/>
          <w:color w:val="auto"/>
          <w:kern w:val="0"/>
          <w:sz w:val="32"/>
          <w:szCs w:val="32"/>
        </w:rPr>
        <w:t>所需</w:t>
      </w:r>
      <w:r>
        <w:rPr>
          <w:rFonts w:ascii="彩虹粗仿宋" w:hAnsi="宋体" w:eastAsia="彩虹粗仿宋" w:cs="Times New Roman"/>
          <w:snapToGrid w:val="0"/>
          <w:color w:val="auto"/>
          <w:kern w:val="0"/>
          <w:sz w:val="32"/>
          <w:szCs w:val="32"/>
        </w:rPr>
        <w:t>钞箱</w:t>
      </w:r>
      <w:r>
        <w:rPr>
          <w:rFonts w:hint="eastAsia" w:ascii="彩虹粗仿宋" w:hAnsi="宋体" w:eastAsia="彩虹粗仿宋" w:cs="Times New Roman"/>
          <w:snapToGrid w:val="0"/>
          <w:color w:val="auto"/>
          <w:kern w:val="0"/>
          <w:sz w:val="32"/>
          <w:szCs w:val="32"/>
        </w:rPr>
        <w:t>押运。</w:t>
      </w:r>
    </w:p>
    <w:p w14:paraId="3BF2E68C">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rPr>
        <w:t>其他辅助服务</w:t>
      </w:r>
    </w:p>
    <w:p w14:paraId="3A2CBAE0">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（1）设备运行情况监控，运营情况统计分析；</w:t>
      </w:r>
    </w:p>
    <w:p w14:paraId="36A34639">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（2）非技术性简单故障处理，安全隐患排除和反馈；</w:t>
      </w:r>
    </w:p>
    <w:p w14:paraId="2FEBBDB7">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（3）按需更换色带和客户凭条；</w:t>
      </w:r>
    </w:p>
    <w:p w14:paraId="3D793A63">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（4）配合完成自助柜员机软件升级和设备维修维护；</w:t>
      </w:r>
    </w:p>
    <w:p w14:paraId="407B50B1">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（5）配合招标人现场检查；</w:t>
      </w:r>
    </w:p>
    <w:p w14:paraId="01DFDD75">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（6）协助处理客户投诉；</w:t>
      </w:r>
    </w:p>
    <w:p w14:paraId="6D930617">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（7）自助柜员机加钞间、客户区和设备机身的保洁。</w:t>
      </w:r>
    </w:p>
    <w:p w14:paraId="5A4CF3F2">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rPr>
        <w:t>临时应急服务</w:t>
      </w:r>
    </w:p>
    <w:p w14:paraId="0BCB845A">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（1）应急取吞卡；</w:t>
      </w:r>
    </w:p>
    <w:p w14:paraId="31FA8498">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（2）应急排障；</w:t>
      </w:r>
    </w:p>
    <w:p w14:paraId="2A91F4E0">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（3）应急加卸钞服务。</w:t>
      </w:r>
    </w:p>
    <w:p w14:paraId="6B239C69">
      <w:pPr>
        <w:spacing w:line="360" w:lineRule="auto"/>
        <w:ind w:firstLine="643" w:firstLineChars="200"/>
        <w:rPr>
          <w:rFonts w:ascii="彩虹楷体" w:hAnsi="彩虹楷体" w:eastAsia="彩虹楷体" w:cs="彩虹楷体"/>
          <w:b/>
          <w:snapToGrid w:val="0"/>
          <w:color w:val="auto"/>
          <w:kern w:val="0"/>
          <w:sz w:val="32"/>
          <w:szCs w:val="32"/>
        </w:rPr>
      </w:pPr>
      <w:r>
        <w:rPr>
          <w:rFonts w:hint="eastAsia" w:ascii="彩虹楷体" w:hAnsi="彩虹楷体" w:eastAsia="彩虹楷体" w:cs="彩虹楷体"/>
          <w:b/>
          <w:snapToGrid w:val="0"/>
          <w:color w:val="auto"/>
          <w:kern w:val="0"/>
          <w:sz w:val="32"/>
          <w:szCs w:val="32"/>
        </w:rPr>
        <w:t>（二）服务要求</w:t>
      </w:r>
    </w:p>
    <w:p w14:paraId="4116534F">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rPr>
        <w:t>设备清机加卸钞服务要求</w:t>
      </w:r>
    </w:p>
    <w:p w14:paraId="7EFA838E">
      <w:pPr>
        <w:spacing w:line="360" w:lineRule="auto"/>
        <w:ind w:firstLine="640" w:firstLineChars="200"/>
        <w:rPr>
          <w:rFonts w:ascii="彩虹粗仿宋" w:hAnsi="宋体" w:eastAsia="彩虹粗仿宋" w:cs="Times New Roman"/>
          <w:snapToGrid w:val="0"/>
          <w:color w:val="auto"/>
          <w:kern w:val="0"/>
          <w:sz w:val="32"/>
          <w:szCs w:val="32"/>
          <w:u w:val="single"/>
        </w:rPr>
      </w:pPr>
      <w:r>
        <w:rPr>
          <w:rFonts w:hint="eastAsia" w:ascii="彩虹粗仿宋" w:hAnsi="宋体" w:eastAsia="彩虹粗仿宋" w:cs="Times New Roman"/>
          <w:snapToGrid w:val="0"/>
          <w:color w:val="auto"/>
          <w:kern w:val="0"/>
          <w:sz w:val="32"/>
          <w:szCs w:val="32"/>
        </w:rPr>
        <w:t>（1）设备清机加钞频率：每周平均不少于1.5次；</w:t>
      </w:r>
    </w:p>
    <w:p w14:paraId="797A8FED">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（2）设备清机加钞服务时间：</w:t>
      </w:r>
    </w:p>
    <w:p w14:paraId="5341EF24">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①正常工作日：每周一至周五；</w:t>
      </w:r>
    </w:p>
    <w:p w14:paraId="72AC0B3C">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②法定节假日：根据招标</w:t>
      </w:r>
      <w:r>
        <w:rPr>
          <w:rFonts w:ascii="彩虹粗仿宋" w:hAnsi="宋体" w:eastAsia="彩虹粗仿宋" w:cs="Times New Roman"/>
          <w:snapToGrid w:val="0"/>
          <w:color w:val="auto"/>
          <w:kern w:val="0"/>
          <w:sz w:val="32"/>
          <w:szCs w:val="32"/>
        </w:rPr>
        <w:t>人实际</w:t>
      </w:r>
      <w:r>
        <w:rPr>
          <w:rFonts w:hint="eastAsia" w:ascii="彩虹粗仿宋" w:hAnsi="宋体" w:eastAsia="彩虹粗仿宋" w:cs="Times New Roman"/>
          <w:snapToGrid w:val="0"/>
          <w:color w:val="auto"/>
          <w:kern w:val="0"/>
          <w:sz w:val="32"/>
          <w:szCs w:val="32"/>
        </w:rPr>
        <w:t>需求</w:t>
      </w:r>
      <w:r>
        <w:rPr>
          <w:rFonts w:ascii="彩虹粗仿宋" w:hAnsi="宋体" w:eastAsia="彩虹粗仿宋" w:cs="Times New Roman"/>
          <w:snapToGrid w:val="0"/>
          <w:color w:val="auto"/>
          <w:kern w:val="0"/>
          <w:sz w:val="32"/>
          <w:szCs w:val="32"/>
        </w:rPr>
        <w:t>安排清机加钞和维护。</w:t>
      </w:r>
    </w:p>
    <w:p w14:paraId="150D32F9">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（3）设备的各项指标不得低于实施外包前的指标（包括开机率、全功能服务率、月均缺钞率等）。</w:t>
      </w:r>
    </w:p>
    <w:p w14:paraId="0F0A2A83">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（4）重大安全事故风险率为0。</w:t>
      </w:r>
    </w:p>
    <w:p w14:paraId="70C10D2E">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（5）服务响应度：各项服务每次响应时间不超过30分钟。到达现场时间：市县区内不超过</w:t>
      </w:r>
      <w:r>
        <w:rPr>
          <w:rFonts w:ascii="彩虹粗仿宋" w:hAnsi="宋体" w:eastAsia="彩虹粗仿宋" w:cs="Times New Roman"/>
          <w:snapToGrid w:val="0"/>
          <w:kern w:val="0"/>
          <w:sz w:val="32"/>
          <w:szCs w:val="32"/>
        </w:rPr>
        <w:t>1</w:t>
      </w:r>
      <w:r>
        <w:rPr>
          <w:rFonts w:hint="eastAsia" w:ascii="彩虹粗仿宋" w:hAnsi="宋体" w:eastAsia="彩虹粗仿宋" w:cs="Times New Roman"/>
          <w:snapToGrid w:val="0"/>
          <w:kern w:val="0"/>
          <w:sz w:val="32"/>
          <w:szCs w:val="32"/>
        </w:rPr>
        <w:t>小时、村镇不超过1</w:t>
      </w:r>
      <w:r>
        <w:rPr>
          <w:rFonts w:ascii="彩虹粗仿宋" w:hAnsi="宋体" w:eastAsia="彩虹粗仿宋" w:cs="Times New Roman"/>
          <w:snapToGrid w:val="0"/>
          <w:kern w:val="0"/>
          <w:sz w:val="32"/>
          <w:szCs w:val="32"/>
        </w:rPr>
        <w:t>.5</w:t>
      </w:r>
      <w:r>
        <w:rPr>
          <w:rFonts w:hint="eastAsia" w:ascii="彩虹粗仿宋" w:hAnsi="宋体" w:eastAsia="彩虹粗仿宋" w:cs="Times New Roman"/>
          <w:snapToGrid w:val="0"/>
          <w:kern w:val="0"/>
          <w:sz w:val="32"/>
          <w:szCs w:val="32"/>
        </w:rPr>
        <w:t>小时；现场服务（投标人可自行处理的故障）时间：每台设备不超过 1小时。</w:t>
      </w:r>
    </w:p>
    <w:p w14:paraId="76560269">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6）设备故障处理时限：营业时间范围（8：30-18：00）内发生故障，收到短信通知或处理指令后城区60分钟内故障处理完毕、村镇90分钟内故障处理完毕；非营业时间（节假日及班后）收到短信通知后或处理指令后判断是否需要安防人员，对不涉及安防人员的一般故障，须在1小时内处理完毕，如故障发生在晚上，则要求在晚上21点前处理完毕。</w:t>
      </w:r>
    </w:p>
    <w:p w14:paraId="3AB9525D">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kern w:val="0"/>
          <w:sz w:val="32"/>
          <w:szCs w:val="32"/>
        </w:rPr>
        <w:t>（7）每次清机必须检查残钞回收箱是否有残钞，检查</w:t>
      </w:r>
      <w:r>
        <w:rPr>
          <w:rFonts w:hint="eastAsia" w:ascii="彩虹粗仿宋" w:hAnsi="宋体" w:eastAsia="彩虹粗仿宋" w:cs="Times New Roman"/>
          <w:snapToGrid w:val="0"/>
          <w:color w:val="auto"/>
          <w:kern w:val="0"/>
          <w:sz w:val="32"/>
          <w:szCs w:val="32"/>
        </w:rPr>
        <w:t>卡片回收箱是否有吞卡。</w:t>
      </w:r>
    </w:p>
    <w:p w14:paraId="228C5F33">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（8）清理出的残钞、卡钞、吞卡由外包人员双人清点并登记，确认无误后装入残钞、卡钞专用袋封装后随钞箱一起带回（清点、封装、交接必须全程双人在监控摄像头监控下进行）。</w:t>
      </w:r>
    </w:p>
    <w:p w14:paraId="05899120">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（9）及时更换客户凭条等消耗品，保证设备正常运行。</w:t>
      </w:r>
    </w:p>
    <w:p w14:paraId="3214C378">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（10）设备日常清机加钞维护，必须按照“双人管理原则”，做到双人到场、换人复核、交接清楚、清点准确、责任明确。</w:t>
      </w:r>
    </w:p>
    <w:p w14:paraId="1A49640A">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（11）清机加钞后，须对设备运行和安全情况进行检查、登记，如检查设备有无被加装非法装置、视频摄像头是否对准交易人等，并对摄像头及客户操作键（屏）作必要的清洁维护, 发现设备安全、电气、装修、设备灯箱、商家物业场所、卫生管理等方面问题及时向招标人相关管理人员反映。</w:t>
      </w:r>
    </w:p>
    <w:p w14:paraId="47EEF55C">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color w:val="auto"/>
          <w:kern w:val="0"/>
          <w:sz w:val="32"/>
          <w:szCs w:val="32"/>
        </w:rPr>
        <w:t>（12）每次清机完毕，必须重新对加钞间和设备进行</w:t>
      </w:r>
      <w:r>
        <w:rPr>
          <w:rFonts w:hint="eastAsia" w:ascii="彩虹粗仿宋" w:hAnsi="宋体" w:eastAsia="彩虹粗仿宋" w:cs="Times New Roman"/>
          <w:snapToGrid w:val="0"/>
          <w:kern w:val="0"/>
          <w:sz w:val="32"/>
          <w:szCs w:val="32"/>
        </w:rPr>
        <w:t>安防布控（110报警、远程监控等）。</w:t>
      </w:r>
    </w:p>
    <w:p w14:paraId="3EDDE3A4">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（13）差错处理。建立自助柜员机运行差错登记簿，详细记载设备长短款及错账情况。</w:t>
      </w:r>
    </w:p>
    <w:p w14:paraId="31F76B53">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（14）服务时间：提供全年365天应急服务。</w:t>
      </w:r>
    </w:p>
    <w:p w14:paraId="26AADD46">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（15）原则上设备吞卡需在清理当天送达指定网点或部门，最迟不能超过次日。返卡方式由招标人各分支机构与投标人另行约定。</w:t>
      </w:r>
    </w:p>
    <w:p w14:paraId="6B226215">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（16）清机加钞押运钞箱时，必须配置自助柜员机钞箱袋，装运自助设备钞箱，降低钞箱损坏概率。</w:t>
      </w:r>
    </w:p>
    <w:p w14:paraId="45A6DE6B">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保险要求</w:t>
      </w:r>
    </w:p>
    <w:p w14:paraId="031D3817">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投标人必须按招标人要求购买现金保险，保额为5000万元，保险第一受益人为中国建设银行股份有限公司广西壮族自治区分行。</w:t>
      </w:r>
    </w:p>
    <w:p w14:paraId="12F87A6F">
      <w:pPr>
        <w:spacing w:line="360" w:lineRule="auto"/>
        <w:ind w:firstLine="640" w:firstLineChars="200"/>
      </w:pPr>
      <w:r>
        <w:rPr>
          <w:rFonts w:hint="eastAsia" w:ascii="彩虹粗仿宋" w:hAnsi="宋体" w:eastAsia="彩虹粗仿宋" w:cs="Times New Roman"/>
          <w:snapToGrid w:val="0"/>
          <w:kern w:val="0"/>
          <w:sz w:val="32"/>
          <w:szCs w:val="32"/>
        </w:rPr>
        <w:t>3.保密</w:t>
      </w:r>
      <w:r>
        <w:rPr>
          <w:rFonts w:ascii="彩虹粗仿宋" w:hAnsi="宋体" w:eastAsia="彩虹粗仿宋" w:cs="Times New Roman"/>
          <w:snapToGrid w:val="0"/>
          <w:kern w:val="0"/>
          <w:sz w:val="32"/>
          <w:szCs w:val="32"/>
        </w:rPr>
        <w:t>要求</w:t>
      </w:r>
      <w:r>
        <w:rPr>
          <w:rFonts w:hint="eastAsia"/>
        </w:rPr>
        <w:t xml:space="preserve"> </w:t>
      </w:r>
    </w:p>
    <w:p w14:paraId="7CBAACF2">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投标人应严守在服务过程中以口头、书面或其他任何方式知悉招标人的商业秘密、技术秘密和客户资料等信息，必须与招标人签订保密协议。</w:t>
      </w:r>
    </w:p>
    <w:p w14:paraId="7C8B22B2">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4.应急预案</w:t>
      </w:r>
    </w:p>
    <w:p w14:paraId="7E76E4EE">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投标人应制定应急预案，明确应急事项处理措施，具备区域内统筹应急调配人员能力，保证突发事件时招标人业务不受影响。招标人组织的安全和消防知识学习、突发性应急预案演练等涉及投标人时，投标人应给与配合。</w:t>
      </w:r>
    </w:p>
    <w:p w14:paraId="2C318BE5">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5.违约扣罚</w:t>
      </w:r>
    </w:p>
    <w:p w14:paraId="75FA955B">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（1）清机加钞和日常维护，未按招标人制度规定和流程操作的，每次扣 50-100 元；</w:t>
      </w:r>
    </w:p>
    <w:p w14:paraId="061D8678">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（2）日常维护或应急维护未能按合同时间要求完成工作进度的，每次扣100元；</w:t>
      </w:r>
    </w:p>
    <w:p w14:paraId="45F636D0">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（3）因投标人原因</w:t>
      </w:r>
      <w:r>
        <w:rPr>
          <w:rFonts w:ascii="彩虹粗仿宋" w:hAnsi="宋体" w:eastAsia="彩虹粗仿宋" w:cs="Times New Roman"/>
          <w:snapToGrid w:val="0"/>
          <w:kern w:val="0"/>
          <w:sz w:val="32"/>
          <w:szCs w:val="32"/>
        </w:rPr>
        <w:t>，未能及时对自助柜员机进行清机加钞或维护，影响客户使用，致使客户投诉至监管机构或媒体</w:t>
      </w:r>
      <w:r>
        <w:rPr>
          <w:rFonts w:hint="eastAsia" w:ascii="彩虹粗仿宋" w:hAnsi="宋体" w:eastAsia="彩虹粗仿宋" w:cs="Times New Roman"/>
          <w:snapToGrid w:val="0"/>
          <w:kern w:val="0"/>
          <w:sz w:val="32"/>
          <w:szCs w:val="32"/>
        </w:rPr>
        <w:t>的</w:t>
      </w:r>
      <w:r>
        <w:rPr>
          <w:rFonts w:ascii="彩虹粗仿宋" w:hAnsi="宋体" w:eastAsia="彩虹粗仿宋" w:cs="Times New Roman"/>
          <w:snapToGrid w:val="0"/>
          <w:kern w:val="0"/>
          <w:sz w:val="32"/>
          <w:szCs w:val="32"/>
        </w:rPr>
        <w:t>，形成有效投诉的，每次扣</w:t>
      </w:r>
      <w:r>
        <w:rPr>
          <w:rFonts w:hint="eastAsia" w:ascii="彩虹粗仿宋" w:hAnsi="宋体" w:eastAsia="彩虹粗仿宋" w:cs="Times New Roman"/>
          <w:snapToGrid w:val="0"/>
          <w:kern w:val="0"/>
          <w:sz w:val="32"/>
          <w:szCs w:val="32"/>
        </w:rPr>
        <w:t>1</w:t>
      </w:r>
      <w:r>
        <w:rPr>
          <w:rFonts w:ascii="彩虹粗仿宋" w:hAnsi="宋体" w:eastAsia="彩虹粗仿宋" w:cs="Times New Roman"/>
          <w:snapToGrid w:val="0"/>
          <w:kern w:val="0"/>
          <w:sz w:val="32"/>
          <w:szCs w:val="32"/>
        </w:rPr>
        <w:t>0</w:t>
      </w:r>
      <w:r>
        <w:rPr>
          <w:rFonts w:hint="eastAsia" w:ascii="彩虹粗仿宋" w:hAnsi="宋体" w:eastAsia="彩虹粗仿宋" w:cs="Times New Roman"/>
          <w:snapToGrid w:val="0"/>
          <w:kern w:val="0"/>
          <w:sz w:val="32"/>
          <w:szCs w:val="32"/>
        </w:rPr>
        <w:t>00元</w:t>
      </w:r>
      <w:r>
        <w:rPr>
          <w:rFonts w:ascii="彩虹粗仿宋" w:hAnsi="宋体" w:eastAsia="彩虹粗仿宋" w:cs="Times New Roman"/>
          <w:snapToGrid w:val="0"/>
          <w:kern w:val="0"/>
          <w:sz w:val="32"/>
          <w:szCs w:val="32"/>
        </w:rPr>
        <w:t>。</w:t>
      </w:r>
    </w:p>
    <w:p w14:paraId="64CDD048">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（4）</w:t>
      </w:r>
      <w:r>
        <w:rPr>
          <w:rFonts w:hint="eastAsia"/>
          <w:color w:val="auto"/>
          <w:highlight w:val="none"/>
        </w:rPr>
        <w:t xml:space="preserve"> </w:t>
      </w:r>
      <w:r>
        <w:rPr>
          <w:rFonts w:hint="eastAsia" w:ascii="彩虹粗仿宋" w:hAnsi="宋体" w:eastAsia="彩虹粗仿宋" w:cs="Times New Roman"/>
          <w:snapToGrid w:val="0"/>
          <w:color w:val="auto"/>
          <w:kern w:val="0"/>
          <w:sz w:val="32"/>
          <w:szCs w:val="32"/>
          <w:highlight w:val="none"/>
        </w:rPr>
        <w:t>设备清机加钞频率每周平均不少于1.5次，平均</w:t>
      </w:r>
      <w:r>
        <w:rPr>
          <w:rFonts w:ascii="彩虹粗仿宋" w:hAnsi="宋体" w:eastAsia="彩虹粗仿宋" w:cs="Times New Roman"/>
          <w:snapToGrid w:val="0"/>
          <w:color w:val="auto"/>
          <w:kern w:val="0"/>
          <w:sz w:val="32"/>
          <w:szCs w:val="32"/>
          <w:highlight w:val="none"/>
        </w:rPr>
        <w:t>每</w:t>
      </w:r>
      <w:r>
        <w:rPr>
          <w:rFonts w:hint="eastAsia" w:ascii="彩虹粗仿宋" w:hAnsi="宋体" w:eastAsia="彩虹粗仿宋" w:cs="Times New Roman"/>
          <w:snapToGrid w:val="0"/>
          <w:color w:val="auto"/>
          <w:kern w:val="0"/>
          <w:sz w:val="32"/>
          <w:szCs w:val="32"/>
          <w:highlight w:val="none"/>
        </w:rPr>
        <w:t>月应不少于6次因</w:t>
      </w:r>
      <w:r>
        <w:rPr>
          <w:rFonts w:ascii="彩虹粗仿宋" w:hAnsi="宋体" w:eastAsia="彩虹粗仿宋" w:cs="Times New Roman"/>
          <w:snapToGrid w:val="0"/>
          <w:color w:val="auto"/>
          <w:kern w:val="0"/>
          <w:sz w:val="32"/>
          <w:szCs w:val="32"/>
          <w:highlight w:val="none"/>
        </w:rPr>
        <w:t>投标人原因，</w:t>
      </w:r>
      <w:r>
        <w:rPr>
          <w:rFonts w:hint="eastAsia" w:ascii="彩虹粗仿宋" w:hAnsi="宋体" w:eastAsia="彩虹粗仿宋" w:cs="Times New Roman"/>
          <w:snapToGrid w:val="0"/>
          <w:color w:val="auto"/>
          <w:kern w:val="0"/>
          <w:sz w:val="32"/>
          <w:szCs w:val="32"/>
          <w:highlight w:val="none"/>
        </w:rPr>
        <w:t>每缺一次，非柳州桂林城区扣150元、柳州桂林地区扣100元。</w:t>
      </w:r>
    </w:p>
    <w:p w14:paraId="538EB9B9">
      <w:pPr>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（三）外包作业</w:t>
      </w:r>
      <w:r>
        <w:rPr>
          <w:rFonts w:ascii="彩虹粗仿宋" w:hAnsi="宋体" w:eastAsia="彩虹粗仿宋" w:cs="Times New Roman"/>
          <w:b/>
          <w:snapToGrid w:val="0"/>
          <w:kern w:val="0"/>
          <w:sz w:val="32"/>
          <w:szCs w:val="32"/>
        </w:rPr>
        <w:t>人员</w:t>
      </w:r>
      <w:r>
        <w:rPr>
          <w:rFonts w:hint="eastAsia" w:ascii="彩虹粗仿宋" w:hAnsi="宋体" w:eastAsia="彩虹粗仿宋" w:cs="Times New Roman"/>
          <w:b/>
          <w:snapToGrid w:val="0"/>
          <w:kern w:val="0"/>
          <w:sz w:val="32"/>
          <w:szCs w:val="32"/>
        </w:rPr>
        <w:t>要求</w:t>
      </w:r>
    </w:p>
    <w:p w14:paraId="5668A6B9">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1.投标人提供给招标人的所有待上岗人员必须经过岗前业务培训及考核。</w:t>
      </w:r>
    </w:p>
    <w:p w14:paraId="45C3A28F">
      <w:pPr>
        <w:spacing w:line="360" w:lineRule="auto"/>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2.投标人指派专人负责外包人员日常管理工作，并严格按照劳动纪律、相关制度、流程规范约束本公司人员。</w:t>
      </w:r>
    </w:p>
    <w:p w14:paraId="08945F09">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color w:val="auto"/>
          <w:kern w:val="0"/>
          <w:sz w:val="32"/>
          <w:szCs w:val="32"/>
        </w:rPr>
        <w:t>3.</w:t>
      </w:r>
      <w:r>
        <w:rPr>
          <w:rFonts w:hint="eastAsia"/>
          <w:color w:val="auto"/>
        </w:rPr>
        <w:t xml:space="preserve"> </w:t>
      </w:r>
      <w:r>
        <w:rPr>
          <w:rFonts w:hint="eastAsia" w:ascii="彩虹粗仿宋" w:hAnsi="宋体" w:eastAsia="彩虹粗仿宋" w:cs="Times New Roman"/>
          <w:snapToGrid w:val="0"/>
          <w:color w:val="auto"/>
          <w:kern w:val="0"/>
          <w:sz w:val="32"/>
          <w:szCs w:val="32"/>
        </w:rPr>
        <w:t>投标人在广西配备的人员（含外包）数量不低于</w:t>
      </w:r>
      <w:r>
        <w:rPr>
          <w:rFonts w:hint="eastAsia" w:ascii="彩虹粗仿宋" w:hAnsi="宋体" w:eastAsia="彩虹粗仿宋" w:cs="Times New Roman"/>
          <w:b/>
          <w:bCs/>
          <w:snapToGrid w:val="0"/>
          <w:color w:val="auto"/>
          <w:kern w:val="0"/>
          <w:sz w:val="32"/>
          <w:szCs w:val="32"/>
          <w:u w:val="single"/>
        </w:rPr>
        <w:t>75</w:t>
      </w:r>
      <w:r>
        <w:rPr>
          <w:rFonts w:hint="eastAsia" w:ascii="彩虹粗仿宋" w:hAnsi="宋体" w:eastAsia="彩虹粗仿宋" w:cs="Times New Roman"/>
          <w:snapToGrid w:val="0"/>
          <w:color w:val="auto"/>
          <w:kern w:val="0"/>
          <w:sz w:val="32"/>
          <w:szCs w:val="32"/>
        </w:rPr>
        <w:t>人，须提供员工缴纳2025年连续半年的社保证明材料（实</w:t>
      </w:r>
      <w:r>
        <w:rPr>
          <w:rFonts w:hint="eastAsia" w:ascii="彩虹粗仿宋" w:hAnsi="宋体" w:eastAsia="彩虹粗仿宋" w:cs="Times New Roman"/>
          <w:snapToGrid w:val="0"/>
          <w:kern w:val="0"/>
          <w:sz w:val="32"/>
          <w:szCs w:val="32"/>
        </w:rPr>
        <w:t>质性响应）。</w:t>
      </w:r>
    </w:p>
    <w:p w14:paraId="323333FB">
      <w:pPr>
        <w:numPr>
          <w:ilvl w:val="0"/>
          <w:numId w:val="1"/>
        </w:numPr>
        <w:spacing w:line="360" w:lineRule="auto"/>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服务数量要求</w:t>
      </w:r>
    </w:p>
    <w:p w14:paraId="25AD7C7B">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中标人</w:t>
      </w:r>
      <w:r>
        <w:rPr>
          <w:rFonts w:hint="eastAsia" w:ascii="彩虹粗仿宋" w:hAnsi="宋体" w:eastAsia="彩虹粗仿宋" w:cs="Times New Roman"/>
          <w:snapToGrid w:val="0"/>
          <w:kern w:val="0"/>
          <w:sz w:val="32"/>
          <w:szCs w:val="32"/>
        </w:rPr>
        <w:t>为招标人辖属城区支行在用的自助柜员机（含存取款一体机、升级版自助柜员机等）提供运营外包服务，</w:t>
      </w:r>
      <w:r>
        <w:rPr>
          <w:rFonts w:ascii="彩虹粗仿宋" w:hAnsi="宋体" w:eastAsia="彩虹粗仿宋" w:cs="Times New Roman"/>
          <w:snapToGrid w:val="0"/>
          <w:kern w:val="0"/>
          <w:sz w:val="32"/>
          <w:szCs w:val="32"/>
        </w:rPr>
        <w:t>设备</w:t>
      </w:r>
      <w:r>
        <w:rPr>
          <w:rFonts w:hint="eastAsia" w:ascii="彩虹粗仿宋" w:hAnsi="宋体" w:eastAsia="彩虹粗仿宋" w:cs="Times New Roman"/>
          <w:snapToGrid w:val="0"/>
          <w:kern w:val="0"/>
          <w:sz w:val="32"/>
          <w:szCs w:val="32"/>
        </w:rPr>
        <w:t>数量约为696台</w:t>
      </w:r>
      <w:r>
        <w:rPr>
          <w:rFonts w:hint="eastAsia" w:ascii="彩虹粗仿宋" w:hAnsi="宋体" w:eastAsia="彩虹粗仿宋"/>
          <w:color w:val="auto"/>
          <w:sz w:val="32"/>
          <w:szCs w:val="32"/>
        </w:rPr>
        <w:t>（设备数量每月</w:t>
      </w:r>
      <w:r>
        <w:rPr>
          <w:rFonts w:hint="eastAsia" w:ascii="彩虹粗仿宋" w:hAnsi="宋体" w:eastAsia="彩虹粗仿宋"/>
          <w:color w:val="auto"/>
          <w:sz w:val="32"/>
          <w:szCs w:val="32"/>
          <w:lang w:val="en-US" w:eastAsia="zh-CN"/>
        </w:rPr>
        <w:t>变动</w:t>
      </w:r>
      <w:r>
        <w:rPr>
          <w:rFonts w:hint="eastAsia" w:ascii="彩虹粗仿宋" w:hAnsi="宋体" w:eastAsia="彩虹粗仿宋"/>
          <w:color w:val="auto"/>
          <w:sz w:val="32"/>
          <w:szCs w:val="32"/>
        </w:rPr>
        <w:t>，以实际运行设备数量为准）</w:t>
      </w:r>
      <w:r>
        <w:rPr>
          <w:rFonts w:ascii="彩虹粗仿宋" w:hAnsi="宋体" w:eastAsia="彩虹粗仿宋" w:cs="Times New Roman"/>
          <w:snapToGrid w:val="0"/>
          <w:color w:val="auto"/>
          <w:kern w:val="0"/>
          <w:sz w:val="32"/>
          <w:szCs w:val="32"/>
        </w:rPr>
        <w:t>。</w:t>
      </w:r>
    </w:p>
    <w:p w14:paraId="1428D94A">
      <w:pPr>
        <w:spacing w:line="360" w:lineRule="auto"/>
        <w:ind w:firstLine="640" w:firstLineChars="200"/>
        <w:rPr>
          <w:rFonts w:hint="eastAsia" w:ascii="彩虹粗仿宋" w:hAnsi="宋体" w:eastAsia="彩虹粗仿宋" w:cs="Times New Roman"/>
          <w:snapToGrid w:val="0"/>
          <w:kern w:val="0"/>
          <w:sz w:val="32"/>
          <w:szCs w:val="32"/>
          <w:lang w:val="en-US" w:eastAsia="zh-CN"/>
        </w:rPr>
      </w:pPr>
      <w:bookmarkStart w:id="0" w:name="_GoBack"/>
      <w:bookmarkEnd w:id="0"/>
      <w:r>
        <w:rPr>
          <w:rFonts w:hint="eastAsia" w:ascii="彩虹粗仿宋" w:hAnsi="宋体" w:eastAsia="彩虹粗仿宋" w:cs="Times New Roman"/>
          <w:snapToGrid w:val="0"/>
          <w:kern w:val="0"/>
          <w:sz w:val="32"/>
          <w:szCs w:val="32"/>
          <w:lang w:val="en-US" w:eastAsia="zh-CN"/>
        </w:rPr>
        <w:t>本项目入选1家供应商，并确定1家备选供应商。全行自助柜员机运营服务将由中标供应商承担，若中标供应商无法履行合约，备选供应商需无条件承接招标方分配的设备运营服务任务。</w:t>
      </w:r>
    </w:p>
    <w:p w14:paraId="3571899F">
      <w:pPr>
        <w:numPr>
          <w:ilvl w:val="0"/>
          <w:numId w:val="1"/>
        </w:numPr>
        <w:spacing w:line="360" w:lineRule="auto"/>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服务供应安排</w:t>
      </w:r>
    </w:p>
    <w:p w14:paraId="048055CF">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1.服务时间要求，在合同执行期内，投标人应按招标人对作业任务具体时限要求完成相应工作。</w:t>
      </w:r>
    </w:p>
    <w:p w14:paraId="6B7AF93C">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2.服务地点要求，招标人（使用机构）指定的工作场所。</w:t>
      </w:r>
    </w:p>
    <w:p w14:paraId="6A2C2EB3">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3.本合同项下的价款为包含增值税的含税价，已包含本合同项下招标人应支付的所有款项，招标人无须再支付任何其他款项。</w:t>
      </w:r>
    </w:p>
    <w:p w14:paraId="3C81F6E5">
      <w:pPr>
        <w:numPr>
          <w:ilvl w:val="0"/>
          <w:numId w:val="1"/>
        </w:numPr>
        <w:spacing w:line="360" w:lineRule="auto"/>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款项支付要求</w:t>
      </w:r>
    </w:p>
    <w:p w14:paraId="6A1F8464">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hint="eastAsia"/>
        </w:rPr>
        <w:t xml:space="preserve"> </w:t>
      </w:r>
      <w:r>
        <w:rPr>
          <w:rFonts w:hint="eastAsia" w:ascii="彩虹粗仿宋" w:hAnsi="宋体" w:eastAsia="彩虹粗仿宋" w:cs="Times New Roman"/>
          <w:snapToGrid w:val="0"/>
          <w:kern w:val="0"/>
          <w:sz w:val="32"/>
          <w:szCs w:val="32"/>
        </w:rPr>
        <w:t>招标人、</w:t>
      </w:r>
      <w:r>
        <w:rPr>
          <w:rFonts w:ascii="彩虹粗仿宋" w:hAnsi="宋体" w:eastAsia="彩虹粗仿宋" w:cs="Times New Roman"/>
          <w:snapToGrid w:val="0"/>
          <w:kern w:val="0"/>
          <w:sz w:val="32"/>
          <w:szCs w:val="32"/>
        </w:rPr>
        <w:t>投标人</w:t>
      </w:r>
      <w:r>
        <w:rPr>
          <w:rFonts w:hint="eastAsia" w:ascii="彩虹粗仿宋" w:hAnsi="宋体" w:eastAsia="彩虹粗仿宋" w:cs="Times New Roman"/>
          <w:snapToGrid w:val="0"/>
          <w:kern w:val="0"/>
          <w:sz w:val="32"/>
          <w:szCs w:val="32"/>
        </w:rPr>
        <w:t>之间发生的本合同价款、费用均以人民币结算及支付。</w:t>
      </w:r>
    </w:p>
    <w:p w14:paraId="3742CBCD">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2.招标人辖属各二级行（部）</w:t>
      </w:r>
      <w:r>
        <w:rPr>
          <w:rFonts w:ascii="彩虹粗仿宋" w:hAnsi="宋体" w:eastAsia="彩虹粗仿宋" w:cs="Times New Roman"/>
          <w:snapToGrid w:val="0"/>
          <w:kern w:val="0"/>
          <w:sz w:val="32"/>
          <w:szCs w:val="32"/>
        </w:rPr>
        <w:t>每季度</w:t>
      </w:r>
      <w:r>
        <w:rPr>
          <w:rFonts w:hint="eastAsia" w:ascii="彩虹粗仿宋" w:hAnsi="宋体" w:eastAsia="彩虹粗仿宋" w:cs="Times New Roman"/>
          <w:snapToGrid w:val="0"/>
          <w:kern w:val="0"/>
          <w:sz w:val="32"/>
          <w:szCs w:val="32"/>
        </w:rPr>
        <w:t>第一个月</w:t>
      </w:r>
      <w:r>
        <w:rPr>
          <w:rFonts w:ascii="彩虹粗仿宋" w:hAnsi="宋体" w:eastAsia="彩虹粗仿宋" w:cs="Times New Roman"/>
          <w:snapToGrid w:val="0"/>
          <w:kern w:val="0"/>
          <w:sz w:val="32"/>
          <w:szCs w:val="32"/>
        </w:rPr>
        <w:t>对</w:t>
      </w:r>
      <w:r>
        <w:rPr>
          <w:rFonts w:hint="eastAsia" w:ascii="彩虹粗仿宋" w:hAnsi="宋体" w:eastAsia="彩虹粗仿宋" w:cs="Times New Roman"/>
          <w:snapToGrid w:val="0"/>
          <w:kern w:val="0"/>
          <w:sz w:val="32"/>
          <w:szCs w:val="32"/>
        </w:rPr>
        <w:t>投标人</w:t>
      </w:r>
      <w:r>
        <w:rPr>
          <w:rFonts w:ascii="彩虹粗仿宋" w:hAnsi="宋体" w:eastAsia="彩虹粗仿宋" w:cs="Times New Roman"/>
          <w:snapToGrid w:val="0"/>
          <w:kern w:val="0"/>
          <w:sz w:val="32"/>
          <w:szCs w:val="32"/>
        </w:rPr>
        <w:t>上季度</w:t>
      </w:r>
      <w:r>
        <w:rPr>
          <w:rFonts w:hint="eastAsia" w:ascii="彩虹粗仿宋" w:hAnsi="宋体" w:eastAsia="彩虹粗仿宋" w:cs="Times New Roman"/>
          <w:snapToGrid w:val="0"/>
          <w:kern w:val="0"/>
          <w:sz w:val="32"/>
          <w:szCs w:val="32"/>
        </w:rPr>
        <w:t>服务</w:t>
      </w:r>
      <w:r>
        <w:rPr>
          <w:rFonts w:ascii="彩虹粗仿宋" w:hAnsi="宋体" w:eastAsia="彩虹粗仿宋" w:cs="Times New Roman"/>
          <w:snapToGrid w:val="0"/>
          <w:kern w:val="0"/>
          <w:sz w:val="32"/>
          <w:szCs w:val="32"/>
        </w:rPr>
        <w:t>进行考评，</w:t>
      </w:r>
      <w:r>
        <w:rPr>
          <w:rFonts w:hint="eastAsia" w:ascii="彩虹粗仿宋" w:hAnsi="宋体" w:eastAsia="彩虹粗仿宋" w:cs="Times New Roman"/>
          <w:snapToGrid w:val="0"/>
          <w:kern w:val="0"/>
          <w:sz w:val="32"/>
          <w:szCs w:val="32"/>
        </w:rPr>
        <w:t>根据</w:t>
      </w:r>
      <w:r>
        <w:rPr>
          <w:rFonts w:ascii="彩虹粗仿宋" w:hAnsi="宋体" w:eastAsia="彩虹粗仿宋" w:cs="Times New Roman"/>
          <w:snapToGrid w:val="0"/>
          <w:kern w:val="0"/>
          <w:sz w:val="32"/>
          <w:szCs w:val="32"/>
        </w:rPr>
        <w:t>实际的自助柜员机维护数量，</w:t>
      </w:r>
      <w:r>
        <w:rPr>
          <w:rFonts w:hint="eastAsia" w:ascii="彩虹粗仿宋" w:hAnsi="宋体" w:eastAsia="彩虹粗仿宋" w:cs="Times New Roman"/>
          <w:snapToGrid w:val="0"/>
          <w:kern w:val="0"/>
          <w:sz w:val="32"/>
          <w:szCs w:val="32"/>
        </w:rPr>
        <w:t>扣减</w:t>
      </w:r>
      <w:r>
        <w:rPr>
          <w:rFonts w:ascii="彩虹粗仿宋" w:hAnsi="宋体" w:eastAsia="彩虹粗仿宋" w:cs="Times New Roman"/>
          <w:snapToGrid w:val="0"/>
          <w:kern w:val="0"/>
          <w:sz w:val="32"/>
          <w:szCs w:val="32"/>
        </w:rPr>
        <w:t>相应的违约金后</w:t>
      </w:r>
      <w:r>
        <w:rPr>
          <w:rFonts w:hint="eastAsia" w:ascii="彩虹粗仿宋" w:hAnsi="宋体" w:eastAsia="彩虹粗仿宋" w:cs="Times New Roman"/>
          <w:snapToGrid w:val="0"/>
          <w:kern w:val="0"/>
          <w:sz w:val="32"/>
          <w:szCs w:val="32"/>
        </w:rPr>
        <w:t>与投标人按季</w:t>
      </w:r>
      <w:r>
        <w:rPr>
          <w:rFonts w:ascii="彩虹粗仿宋" w:hAnsi="宋体" w:eastAsia="彩虹粗仿宋" w:cs="Times New Roman"/>
          <w:snapToGrid w:val="0"/>
          <w:kern w:val="0"/>
          <w:sz w:val="32"/>
          <w:szCs w:val="32"/>
        </w:rPr>
        <w:t>结算。</w:t>
      </w:r>
    </w:p>
    <w:p w14:paraId="4A0B4E61">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3.增值税发票条款</w:t>
      </w:r>
    </w:p>
    <w:p w14:paraId="2429D740">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（1）投标人在收到招标人支付的款项前二十个工作日开具(或通过税务机关代开）当次支付金额的符合规定的增值税专用发票。</w:t>
      </w:r>
    </w:p>
    <w:p w14:paraId="5E540ABF">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如投标人依据税收法律法规无法开具（或通过税务机关代开）增值税专用发票，投标人应当开具合法有效的增值税普通发票。如未来投标人登记成为增值税一般纳税人，应及时通知招标人。自投标人登记成为增值税一般纳税人起，投标人应向招标人开具符合规定的增值税专用发票。</w:t>
      </w:r>
    </w:p>
    <w:p w14:paraId="1DC61432">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（3）投标人应当在发票开具之日起五日内向招标人交付，否则招标人有权拒收发票并要求投标人重新开具。</w:t>
      </w:r>
    </w:p>
    <w:p w14:paraId="5E9548C3">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如投标人向招标人开具的发票无效、虚假、发票类型与合同约定不符，或者投标人发生迟延开具或交付发票的情形，或者投标人出现违反合同约定的其他情形，投标人应当赔偿招标人全部损失，包括但不限于税金、附加税费、罚金、滞纳金。</w:t>
      </w:r>
    </w:p>
    <w:p w14:paraId="44EA4A5E">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（5）如发生需要作废发票或开具红字发票等情形，投标人应当根据招标人要求及时开具发票。</w:t>
      </w:r>
    </w:p>
    <w:p w14:paraId="3B9ECA15">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6）如依据我国法律法规及税收政策，本合同项下服务所涉及的增值税税率发生调整，双方一致同意按照调整后的增值税税率相应调整产品价款，调整方法如下：即自增值税税率调整之日起，在原不含税价格不变的基础上，按照新税率重新计算含税价格，并继续履行本合同其他条款。</w:t>
      </w:r>
    </w:p>
    <w:p w14:paraId="1F61A471">
      <w:pPr>
        <w:numPr>
          <w:ilvl w:val="0"/>
          <w:numId w:val="1"/>
        </w:numPr>
        <w:spacing w:line="360" w:lineRule="auto"/>
        <w:rPr>
          <w:rFonts w:hint="eastAsia" w:ascii="彩虹黑体" w:hAnsi="宋体" w:eastAsia="彩虹黑体" w:cs="Times New Roman"/>
          <w:snapToGrid w:val="0"/>
          <w:kern w:val="0"/>
          <w:sz w:val="32"/>
          <w:szCs w:val="32"/>
        </w:rPr>
      </w:pPr>
      <w:r>
        <w:rPr>
          <w:rFonts w:hint="eastAsia" w:ascii="彩虹黑体" w:hAnsi="宋体" w:eastAsia="彩虹黑体"/>
          <w:sz w:val="32"/>
          <w:szCs w:val="32"/>
        </w:rPr>
        <w:t>其他要求</w:t>
      </w:r>
    </w:p>
    <w:p w14:paraId="609D92CB">
      <w:pPr>
        <w:tabs>
          <w:tab w:val="left" w:pos="993"/>
        </w:tabs>
        <w:spacing w:line="360" w:lineRule="auto"/>
        <w:ind w:firstLine="640" w:firstLineChars="200"/>
        <w:rPr>
          <w:rFonts w:ascii="彩虹粗仿宋" w:hAnsi="宋体" w:eastAsia="彩虹粗仿宋"/>
          <w:sz w:val="32"/>
          <w:szCs w:val="32"/>
        </w:rPr>
      </w:pPr>
      <w:r>
        <w:rPr>
          <w:rFonts w:ascii="彩虹粗仿宋" w:hAnsi="宋体" w:eastAsia="彩虹粗仿宋"/>
          <w:sz w:val="32"/>
          <w:szCs w:val="32"/>
        </w:rPr>
        <w:t>1</w:t>
      </w:r>
      <w:r>
        <w:rPr>
          <w:rFonts w:hint="eastAsia" w:ascii="彩虹粗仿宋" w:hAnsi="宋体" w:eastAsia="彩虹粗仿宋"/>
          <w:sz w:val="32"/>
          <w:szCs w:val="32"/>
        </w:rPr>
        <w:t>.合同期内如果由于招标人上级行政策变更等原因致使合同无法继续履行，招标人有权解除本合同。</w:t>
      </w:r>
    </w:p>
    <w:p w14:paraId="17DCC450">
      <w:pPr>
        <w:tabs>
          <w:tab w:val="left" w:pos="993"/>
        </w:tabs>
        <w:spacing w:line="360" w:lineRule="auto"/>
        <w:ind w:firstLine="640" w:firstLineChars="200"/>
        <w:rPr>
          <w:rFonts w:ascii="彩虹粗仿宋" w:hAnsi="宋体" w:eastAsia="彩虹粗仿宋"/>
          <w:sz w:val="32"/>
          <w:szCs w:val="32"/>
        </w:rPr>
      </w:pPr>
      <w:r>
        <w:rPr>
          <w:rFonts w:ascii="彩虹粗仿宋" w:hAnsi="宋体" w:eastAsia="彩虹粗仿宋"/>
          <w:sz w:val="32"/>
          <w:szCs w:val="32"/>
        </w:rPr>
        <w:t>2</w:t>
      </w:r>
      <w:r>
        <w:rPr>
          <w:rFonts w:hint="eastAsia" w:ascii="彩虹粗仿宋" w:hAnsi="宋体" w:eastAsia="彩虹粗仿宋"/>
          <w:sz w:val="32"/>
          <w:szCs w:val="32"/>
        </w:rPr>
        <w:t>.投标人应保证为招标人提供服务的外包作业人员的稳定性。投标人应按照国家劳动法律法规的有关规定，与服务人员签订劳动合同，并按照《劳动合同法》等相关法律规定给予服务人员基本工资及“五险一金”等福利待遇。投标人与服务人员发生任何的经济、劳动纠纷、法律纠纷和人身损害赔偿纠纷等，与招标人无关，由投标人自行解决。</w:t>
      </w:r>
    </w:p>
    <w:p w14:paraId="3C9A96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C79584"/>
    <w:multiLevelType w:val="singleLevel"/>
    <w:tmpl w:val="C2C79584"/>
    <w:lvl w:ilvl="0" w:tentative="0">
      <w:start w:val="1"/>
      <w:numFmt w:val="chineseCounting"/>
      <w:suff w:val="nothing"/>
      <w:lvlText w:val="%1、"/>
      <w:lvlJc w:val="left"/>
      <w:pPr>
        <w:ind w:left="640" w:firstLine="0"/>
      </w:pPr>
      <w:rPr>
        <w:rFonts w:hint="eastAsia"/>
      </w:rPr>
    </w:lvl>
  </w:abstractNum>
  <w:abstractNum w:abstractNumId="1">
    <w:nsid w:val="0FEE5F7D"/>
    <w:multiLevelType w:val="multilevel"/>
    <w:tmpl w:val="0FEE5F7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036F5"/>
    <w:rsid w:val="000319C7"/>
    <w:rsid w:val="000357D5"/>
    <w:rsid w:val="00045DE9"/>
    <w:rsid w:val="00050D0D"/>
    <w:rsid w:val="00060842"/>
    <w:rsid w:val="00063018"/>
    <w:rsid w:val="00083901"/>
    <w:rsid w:val="000B066E"/>
    <w:rsid w:val="0018166E"/>
    <w:rsid w:val="00192EAB"/>
    <w:rsid w:val="001A110B"/>
    <w:rsid w:val="001B10DD"/>
    <w:rsid w:val="001C4C5C"/>
    <w:rsid w:val="001D6C04"/>
    <w:rsid w:val="001F5521"/>
    <w:rsid w:val="00233747"/>
    <w:rsid w:val="00244396"/>
    <w:rsid w:val="002504DF"/>
    <w:rsid w:val="00251019"/>
    <w:rsid w:val="002604ED"/>
    <w:rsid w:val="0026496D"/>
    <w:rsid w:val="00271DCC"/>
    <w:rsid w:val="0029768C"/>
    <w:rsid w:val="002A3312"/>
    <w:rsid w:val="002A7311"/>
    <w:rsid w:val="002A7766"/>
    <w:rsid w:val="002B72FE"/>
    <w:rsid w:val="002C6565"/>
    <w:rsid w:val="002C789C"/>
    <w:rsid w:val="002E62DC"/>
    <w:rsid w:val="002F0080"/>
    <w:rsid w:val="00326C04"/>
    <w:rsid w:val="00327CE7"/>
    <w:rsid w:val="00331202"/>
    <w:rsid w:val="00354FE6"/>
    <w:rsid w:val="00390224"/>
    <w:rsid w:val="003A20B0"/>
    <w:rsid w:val="003A2659"/>
    <w:rsid w:val="003A3E95"/>
    <w:rsid w:val="003B7CC0"/>
    <w:rsid w:val="003D16E3"/>
    <w:rsid w:val="003D654D"/>
    <w:rsid w:val="00415DF4"/>
    <w:rsid w:val="00430E28"/>
    <w:rsid w:val="00432D50"/>
    <w:rsid w:val="0043781C"/>
    <w:rsid w:val="00447A84"/>
    <w:rsid w:val="0046758B"/>
    <w:rsid w:val="004923DB"/>
    <w:rsid w:val="00494206"/>
    <w:rsid w:val="004B1BD3"/>
    <w:rsid w:val="004C0B0B"/>
    <w:rsid w:val="004E76F3"/>
    <w:rsid w:val="004F090E"/>
    <w:rsid w:val="00506086"/>
    <w:rsid w:val="005242EF"/>
    <w:rsid w:val="00534EB0"/>
    <w:rsid w:val="005651A4"/>
    <w:rsid w:val="005716D4"/>
    <w:rsid w:val="005827D1"/>
    <w:rsid w:val="005A7422"/>
    <w:rsid w:val="005C5A31"/>
    <w:rsid w:val="005D1785"/>
    <w:rsid w:val="005E239F"/>
    <w:rsid w:val="006031B4"/>
    <w:rsid w:val="00630478"/>
    <w:rsid w:val="00634918"/>
    <w:rsid w:val="0066539C"/>
    <w:rsid w:val="00665A17"/>
    <w:rsid w:val="006661D5"/>
    <w:rsid w:val="0066770B"/>
    <w:rsid w:val="00672737"/>
    <w:rsid w:val="006766C6"/>
    <w:rsid w:val="006775EB"/>
    <w:rsid w:val="00680812"/>
    <w:rsid w:val="00703B86"/>
    <w:rsid w:val="00717923"/>
    <w:rsid w:val="00725DFA"/>
    <w:rsid w:val="00751B29"/>
    <w:rsid w:val="00752343"/>
    <w:rsid w:val="0076008D"/>
    <w:rsid w:val="007809DA"/>
    <w:rsid w:val="007B3279"/>
    <w:rsid w:val="008158AF"/>
    <w:rsid w:val="0085033D"/>
    <w:rsid w:val="00853052"/>
    <w:rsid w:val="00856BF2"/>
    <w:rsid w:val="00872FEC"/>
    <w:rsid w:val="008A5E87"/>
    <w:rsid w:val="008C7F93"/>
    <w:rsid w:val="008D102C"/>
    <w:rsid w:val="008D6C62"/>
    <w:rsid w:val="008F30AA"/>
    <w:rsid w:val="00906C0D"/>
    <w:rsid w:val="009301E1"/>
    <w:rsid w:val="009466CA"/>
    <w:rsid w:val="00963F95"/>
    <w:rsid w:val="009660F6"/>
    <w:rsid w:val="00980862"/>
    <w:rsid w:val="00982E27"/>
    <w:rsid w:val="009C40B9"/>
    <w:rsid w:val="009D4F10"/>
    <w:rsid w:val="009F6FC5"/>
    <w:rsid w:val="00A3304E"/>
    <w:rsid w:val="00A37BFB"/>
    <w:rsid w:val="00A67109"/>
    <w:rsid w:val="00A81C93"/>
    <w:rsid w:val="00AB4F7F"/>
    <w:rsid w:val="00AC529F"/>
    <w:rsid w:val="00B742C7"/>
    <w:rsid w:val="00B93EEC"/>
    <w:rsid w:val="00BA1C07"/>
    <w:rsid w:val="00BC2DF5"/>
    <w:rsid w:val="00BC651C"/>
    <w:rsid w:val="00BE6252"/>
    <w:rsid w:val="00C44D19"/>
    <w:rsid w:val="00C60823"/>
    <w:rsid w:val="00C70510"/>
    <w:rsid w:val="00C96F79"/>
    <w:rsid w:val="00CB1403"/>
    <w:rsid w:val="00CB2BE4"/>
    <w:rsid w:val="00CB4461"/>
    <w:rsid w:val="00CD6643"/>
    <w:rsid w:val="00CF5179"/>
    <w:rsid w:val="00D0103B"/>
    <w:rsid w:val="00D23783"/>
    <w:rsid w:val="00D26FD3"/>
    <w:rsid w:val="00DA14FB"/>
    <w:rsid w:val="00DC5087"/>
    <w:rsid w:val="00DD0D3E"/>
    <w:rsid w:val="00DD350E"/>
    <w:rsid w:val="00E245EC"/>
    <w:rsid w:val="00E26477"/>
    <w:rsid w:val="00E41E28"/>
    <w:rsid w:val="00E56DB7"/>
    <w:rsid w:val="00ED2671"/>
    <w:rsid w:val="00EF26DB"/>
    <w:rsid w:val="00EF3D41"/>
    <w:rsid w:val="00EF3E8C"/>
    <w:rsid w:val="00EF53C9"/>
    <w:rsid w:val="00F076E8"/>
    <w:rsid w:val="00F35958"/>
    <w:rsid w:val="00F40491"/>
    <w:rsid w:val="00F653EC"/>
    <w:rsid w:val="00FA147F"/>
    <w:rsid w:val="00FB2ADC"/>
    <w:rsid w:val="00FE68E4"/>
    <w:rsid w:val="00FF7D78"/>
    <w:rsid w:val="249A33A6"/>
    <w:rsid w:val="27FCE70F"/>
    <w:rsid w:val="37CE2227"/>
    <w:rsid w:val="3FBE27C2"/>
    <w:rsid w:val="3FEC0BCB"/>
    <w:rsid w:val="48D07462"/>
    <w:rsid w:val="4DCC1453"/>
    <w:rsid w:val="4FA13358"/>
    <w:rsid w:val="54BFBD8E"/>
    <w:rsid w:val="55CB4250"/>
    <w:rsid w:val="575604AD"/>
    <w:rsid w:val="59E6355E"/>
    <w:rsid w:val="5F7FBA34"/>
    <w:rsid w:val="5FD96977"/>
    <w:rsid w:val="6F6E74DA"/>
    <w:rsid w:val="6F7C6546"/>
    <w:rsid w:val="70EFE11F"/>
    <w:rsid w:val="770E9645"/>
    <w:rsid w:val="777DF2DE"/>
    <w:rsid w:val="79B7E8A4"/>
    <w:rsid w:val="7A5B5BAF"/>
    <w:rsid w:val="7BE68A15"/>
    <w:rsid w:val="7DB9221B"/>
    <w:rsid w:val="7E2B6093"/>
    <w:rsid w:val="A5751FA5"/>
    <w:rsid w:val="AFDD2A71"/>
    <w:rsid w:val="BBB30BA6"/>
    <w:rsid w:val="DA1A56AF"/>
    <w:rsid w:val="E7EA62C9"/>
    <w:rsid w:val="EFEF6822"/>
    <w:rsid w:val="F5CEB786"/>
    <w:rsid w:val="F66785A0"/>
    <w:rsid w:val="F6AF93BF"/>
    <w:rsid w:val="FBDDFC85"/>
    <w:rsid w:val="FDCFB44F"/>
    <w:rsid w:val="FF9DBCF7"/>
    <w:rsid w:val="FFB627FA"/>
    <w:rsid w:val="FFEF4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文字 字符"/>
    <w:basedOn w:val="9"/>
    <w:link w:val="2"/>
    <w:qFormat/>
    <w:uiPriority w:val="99"/>
  </w:style>
  <w:style w:type="character" w:customStyle="1" w:styleId="15">
    <w:name w:val="批注主题 字符"/>
    <w:basedOn w:val="14"/>
    <w:link w:val="6"/>
    <w:semiHidden/>
    <w:qFormat/>
    <w:uiPriority w:val="99"/>
    <w:rPr>
      <w:b/>
      <w:bCs/>
    </w:rPr>
  </w:style>
  <w:style w:type="character" w:customStyle="1" w:styleId="16">
    <w:name w:val="批注框文本 字符"/>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566</Words>
  <Characters>3232</Characters>
  <Lines>26</Lines>
  <Paragraphs>7</Paragraphs>
  <TotalTime>6</TotalTime>
  <ScaleCrop>false</ScaleCrop>
  <LinksUpToDate>false</LinksUpToDate>
  <CharactersWithSpaces>3791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2023-08-27T09:12:00Z</dcterms:created>
  <dc:creator>Apache POI</dc:creator>
  <cp:lastModifiedBy>刘泽琦</cp:lastModifiedBy>
  <cp:lastPrinted>2023-08-24T09:52:00Z</cp:lastPrinted>
  <dcterms:modified xsi:type="dcterms:W3CDTF">2025-11-19T02:57:30Z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00E8CE998CC047BF9FC9D2731780708A_13</vt:lpwstr>
  </property>
  <property fmtid="{D5CDD505-2E9C-101B-9397-08002B2CF9AE}" pid="4" name="KSOTemplateDocerSaveRecord">
    <vt:lpwstr>eyJoZGlkIjoiMzI1OGY4NzNiM2ZkZWZlN2VmZmJlNGI3ZjA2ZjMxYWEifQ==</vt:lpwstr>
  </property>
</Properties>
</file>