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278D1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广西旅发集团广西自贸区医院自动靶区</w:t>
      </w:r>
    </w:p>
    <w:p w14:paraId="2AD16C5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勾画系统采购项目需求清单</w:t>
      </w:r>
    </w:p>
    <w:p w14:paraId="6A5C1D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bookmarkStart w:id="0" w:name="_GoBack"/>
      <w:bookmarkEnd w:id="0"/>
    </w:p>
    <w:tbl>
      <w:tblPr>
        <w:tblStyle w:val="2"/>
        <w:tblW w:w="0" w:type="auto"/>
        <w:tblInd w:w="7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5"/>
        <w:gridCol w:w="2355"/>
        <w:gridCol w:w="915"/>
        <w:gridCol w:w="930"/>
        <w:gridCol w:w="7785"/>
      </w:tblGrid>
      <w:tr w14:paraId="3D4C31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FF0000" w:fill="auto"/>
            <w:noWrap w:val="0"/>
            <w:vAlign w:val="top"/>
          </w:tcPr>
          <w:p w14:paraId="62C057DD">
            <w:pPr>
              <w:spacing w:beforeLines="0" w:afterLines="0"/>
              <w:jc w:val="center"/>
              <w:rPr>
                <w:rFonts w:hint="eastAsia" w:ascii="微软雅黑" w:hAnsi="微软雅黑" w:eastAsia="微软雅黑"/>
                <w:color w:val="FFFFFF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color w:val="FFFFFF"/>
                <w:sz w:val="24"/>
                <w:szCs w:val="24"/>
              </w:rPr>
              <w:t>序号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FF0000" w:fill="auto"/>
            <w:noWrap w:val="0"/>
            <w:vAlign w:val="top"/>
          </w:tcPr>
          <w:p w14:paraId="36D5CE8C">
            <w:pPr>
              <w:spacing w:beforeLines="0" w:afterLines="0"/>
              <w:jc w:val="center"/>
              <w:rPr>
                <w:rFonts w:hint="eastAsia" w:ascii="微软雅黑" w:hAnsi="微软雅黑" w:eastAsia="微软雅黑"/>
                <w:color w:val="FFFFFF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color w:val="FFFFFF"/>
                <w:sz w:val="24"/>
                <w:szCs w:val="24"/>
              </w:rPr>
              <w:t>产品</w:t>
            </w:r>
          </w:p>
        </w:tc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FF0000" w:fill="auto"/>
            <w:noWrap w:val="0"/>
            <w:vAlign w:val="top"/>
          </w:tcPr>
          <w:p w14:paraId="232D9D35">
            <w:pPr>
              <w:spacing w:beforeLines="0" w:afterLines="0"/>
              <w:jc w:val="center"/>
              <w:rPr>
                <w:rFonts w:hint="eastAsia" w:ascii="微软雅黑" w:hAnsi="微软雅黑" w:eastAsia="微软雅黑"/>
                <w:color w:val="FFFFFF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color w:val="FFFFFF"/>
                <w:sz w:val="24"/>
                <w:szCs w:val="24"/>
              </w:rPr>
              <w:t>数量</w:t>
            </w: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FF0000" w:fill="auto"/>
            <w:noWrap w:val="0"/>
            <w:vAlign w:val="top"/>
          </w:tcPr>
          <w:p w14:paraId="513DD4E3">
            <w:pPr>
              <w:spacing w:beforeLines="0" w:afterLines="0"/>
              <w:jc w:val="center"/>
              <w:rPr>
                <w:rFonts w:hint="eastAsia" w:ascii="微软雅黑" w:hAnsi="微软雅黑" w:eastAsia="微软雅黑"/>
                <w:color w:val="FFFFFF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color w:val="FFFFFF"/>
                <w:sz w:val="24"/>
                <w:szCs w:val="24"/>
              </w:rPr>
              <w:t>单位</w:t>
            </w:r>
          </w:p>
        </w:tc>
        <w:tc>
          <w:tcPr>
            <w:tcW w:w="7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shd w:val="solid" w:color="FF0000" w:fill="auto"/>
            <w:noWrap w:val="0"/>
            <w:vAlign w:val="top"/>
          </w:tcPr>
          <w:p w14:paraId="0BCC670B">
            <w:pPr>
              <w:spacing w:beforeLines="0" w:afterLines="0"/>
              <w:jc w:val="center"/>
              <w:rPr>
                <w:rFonts w:hint="eastAsia" w:ascii="微软雅黑" w:hAnsi="微软雅黑" w:eastAsia="微软雅黑"/>
                <w:color w:val="FFFFFF"/>
                <w:sz w:val="24"/>
                <w:szCs w:val="24"/>
              </w:rPr>
            </w:pPr>
            <w:r>
              <w:rPr>
                <w:rFonts w:hint="eastAsia" w:ascii="微软雅黑" w:hAnsi="微软雅黑" w:eastAsia="微软雅黑"/>
                <w:color w:val="FFFFFF"/>
                <w:sz w:val="24"/>
                <w:szCs w:val="24"/>
              </w:rPr>
              <w:t>需求说明</w:t>
            </w:r>
          </w:p>
        </w:tc>
      </w:tr>
      <w:tr w14:paraId="157D75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</w:trPr>
        <w:tc>
          <w:tcPr>
            <w:tcW w:w="7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649C4E11"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1</w:t>
            </w:r>
          </w:p>
        </w:tc>
        <w:tc>
          <w:tcPr>
            <w:tcW w:w="23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73C557BB"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自动靶区勾画系统</w:t>
            </w:r>
          </w:p>
        </w:tc>
        <w:tc>
          <w:tcPr>
            <w:tcW w:w="91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59A90C5"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1</w:t>
            </w:r>
          </w:p>
        </w:tc>
        <w:tc>
          <w:tcPr>
            <w:tcW w:w="9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09C5C6D8">
            <w:pPr>
              <w:spacing w:beforeLines="0" w:afterLines="0"/>
              <w:jc w:val="center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套</w:t>
            </w:r>
          </w:p>
        </w:tc>
        <w:tc>
          <w:tcPr>
            <w:tcW w:w="778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  <w:tl2br w:val="nil"/>
              <w:tr2bl w:val="nil"/>
            </w:tcBorders>
            <w:noWrap w:val="0"/>
            <w:vAlign w:val="top"/>
          </w:tcPr>
          <w:p w14:paraId="2D20FA40">
            <w:pPr>
              <w:spacing w:beforeLines="0" w:afterLines="0"/>
              <w:jc w:val="left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1.支持头颈部、胸部、腹部、盆腔危及器官的自动勾画。</w:t>
            </w:r>
          </w:p>
          <w:p w14:paraId="745201DA">
            <w:pPr>
              <w:spacing w:beforeLines="0" w:afterLines="0"/>
              <w:jc w:val="left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2.支持鼻咽癌、肺癌、乳腺癌、食管癌、肝癌、直肠癌、前列腺癌、宫颈癌肿瘤靶区自动勾画。</w:t>
            </w:r>
          </w:p>
          <w:p w14:paraId="47425708">
            <w:pPr>
              <w:spacing w:beforeLines="0" w:afterLines="0"/>
              <w:jc w:val="left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3.支持深度学习并通过算法可实现多模态（CT图像、MRI图像、PET-CT图像等）的精确配准与融合（自动/半自动/手动），并能基于融合影像进行靶区勾画。</w:t>
            </w:r>
          </w:p>
          <w:p w14:paraId="4E46A023">
            <w:pPr>
              <w:spacing w:beforeLines="0" w:afterLines="0"/>
              <w:jc w:val="left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4.支持脑干、脊髓、视神经、视交叉、垂体、海马体、颞叶、眼球、晶体、腮腺、下颌骨、颌下腺、肺、心脏、食管、肝脏、肾脏、膀胱、骨盆、直肠、小肠、股骨头、皮肤、甲状腺危及器官（OARs）自动勾画和手动勾画修改。</w:t>
            </w:r>
          </w:p>
          <w:p w14:paraId="165E1E28">
            <w:pPr>
              <w:spacing w:beforeLines="0" w:afterLines="0"/>
              <w:jc w:val="left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5.系统支持高精度的GTV自动勾画和手动修改；支持基于临床指南的CTV自动外扩和修改；支持基于4D-CT的ITV自动生成和修改。</w:t>
            </w:r>
          </w:p>
          <w:p w14:paraId="4759CB94">
            <w:pPr>
              <w:spacing w:beforeLines="0" w:afterLines="0"/>
              <w:jc w:val="left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6.勾画结果必须具有临床可接受性，并可由医生进行审阅和修改。</w:t>
            </w:r>
          </w:p>
          <w:p w14:paraId="0C9B168B">
            <w:pPr>
              <w:spacing w:beforeLines="0" w:afterLines="0"/>
              <w:jc w:val="left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7.支持基于本院数据的迁移学习/微调以提高本地适应性，需本地病例测试，判断是否符合医院医疗业务实际要求。</w:t>
            </w:r>
          </w:p>
          <w:p w14:paraId="5B618E80">
            <w:pPr>
              <w:spacing w:beforeLines="0" w:afterLines="0"/>
              <w:jc w:val="left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8.勾画速度≤5分钟。</w:t>
            </w:r>
          </w:p>
          <w:p w14:paraId="6AEC8ECE">
            <w:pPr>
              <w:spacing w:beforeLines="0" w:afterLines="0"/>
              <w:jc w:val="left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9.支持DICOM协议，可以与影像设备（CT模拟定位机、磁共振）、计划系统(Monaco)进行数据传输，获取影像和患者信息，导入图像进行靶区勾画。</w:t>
            </w:r>
          </w:p>
          <w:p w14:paraId="7D2EDE82">
            <w:pPr>
              <w:spacing w:beforeLines="0" w:afterLines="0"/>
              <w:jc w:val="left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10.支持导出靶区和危及器官勾画轮廓，支持计划系统(Monaco)进行后续放疗计划设计。</w:t>
            </w:r>
          </w:p>
          <w:p w14:paraId="10FF7DCA">
            <w:pPr>
              <w:spacing w:beforeLines="0" w:afterLines="0"/>
              <w:jc w:val="left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11.支持双向通讯，允许将医生在计划系统中修改后的轮廓反馈回自动勾画系统，用于持续学习和改进。</w:t>
            </w:r>
          </w:p>
          <w:p w14:paraId="3C305F0B">
            <w:pPr>
              <w:spacing w:beforeLines="0" w:afterLines="0"/>
              <w:jc w:val="left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12.支持用户自建、新建、导入模型进行自动勾画和手动修改。</w:t>
            </w:r>
          </w:p>
          <w:p w14:paraId="2AA12F3F">
            <w:pPr>
              <w:spacing w:beforeLines="0" w:afterLines="0"/>
              <w:jc w:val="left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13.患者数据所有权、私有图谱和微调模型的所有权和使用权均归属医院。</w:t>
            </w:r>
          </w:p>
          <w:p w14:paraId="4DB5C049">
            <w:pPr>
              <w:spacing w:beforeLines="0" w:afterLines="0"/>
              <w:jc w:val="left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14.含配套硬件服务器，硬件服务器参数如下：</w:t>
            </w:r>
          </w:p>
          <w:p w14:paraId="1BF30553">
            <w:pPr>
              <w:spacing w:beforeLines="0" w:afterLines="0"/>
              <w:jc w:val="left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（1）CPU：核心数≥4核心，线程数≥8线程。</w:t>
            </w:r>
          </w:p>
          <w:p w14:paraId="370050F6">
            <w:pPr>
              <w:spacing w:beforeLines="0" w:afterLines="0"/>
              <w:jc w:val="left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（2）内存：≥32GB。</w:t>
            </w:r>
          </w:p>
          <w:p w14:paraId="45B5EC07">
            <w:pPr>
              <w:spacing w:beforeLines="0" w:afterLines="0"/>
              <w:jc w:val="left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（3）网卡：1000M*1。</w:t>
            </w:r>
          </w:p>
          <w:p w14:paraId="21B40DFA">
            <w:pPr>
              <w:spacing w:beforeLines="0" w:afterLines="0"/>
              <w:jc w:val="left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（4）显示器：≥27英寸，支持1920*1080。</w:t>
            </w:r>
          </w:p>
          <w:p w14:paraId="04639EF6">
            <w:pPr>
              <w:spacing w:beforeLines="0" w:afterLines="0"/>
              <w:jc w:val="left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（5）硬盘：系统盘SSD*1，≥256GB；数据盘SATA*1，≥4TB。</w:t>
            </w:r>
          </w:p>
          <w:p w14:paraId="2C837A7F">
            <w:pPr>
              <w:spacing w:beforeLines="0" w:afterLines="0"/>
              <w:jc w:val="left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（6）显卡：显存≥12GB。</w:t>
            </w:r>
          </w:p>
          <w:p w14:paraId="4C14931B">
            <w:pPr>
              <w:spacing w:beforeLines="0" w:afterLines="0"/>
              <w:jc w:val="left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（7）键鼠：含配套键鼠。</w:t>
            </w:r>
          </w:p>
          <w:p w14:paraId="1EFE196D">
            <w:pPr>
              <w:spacing w:beforeLines="0" w:afterLines="0"/>
              <w:jc w:val="left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（8）其他：仅接受国产信创产品，支持定制化。</w:t>
            </w:r>
          </w:p>
          <w:p w14:paraId="5904AB62">
            <w:pPr>
              <w:spacing w:beforeLines="0" w:afterLines="0"/>
              <w:jc w:val="left"/>
              <w:rPr>
                <w:rFonts w:hint="eastAsia" w:ascii="仿宋" w:hAnsi="仿宋" w:eastAsia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/>
                <w:color w:val="000000"/>
                <w:sz w:val="24"/>
                <w:szCs w:val="24"/>
              </w:rPr>
              <w:t>15.软件系统所含操作系统、数据库、中间件需满足国产信创化要求，</w:t>
            </w:r>
          </w:p>
        </w:tc>
      </w:tr>
    </w:tbl>
    <w:p w14:paraId="42415BFC"/>
    <w:sectPr>
      <w:pgSz w:w="15840" w:h="12240" w:orient="landscape"/>
      <w:pgMar w:top="1800" w:right="1440" w:bottom="1800" w:left="1440" w:header="720" w:footer="720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行楷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169E37CD"/>
    <w:rsid w:val="563C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jc w:val="both"/>
    </w:pPr>
    <w:rPr>
      <w:rFonts w:eastAsia="宋体"/>
      <w:kern w:val="2"/>
      <w:sz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Office_12.1.0.22215_F1E327BC-269C-435d-A152-05C5408002CA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2025-06-05T13:31:00Z</dcterms:created>
  <dc:creator>Administrator</dc:creator>
  <cp:lastModifiedBy>不玩朋友圈，10点准时睡。</cp:lastModifiedBy>
  <dcterms:modified xsi:type="dcterms:W3CDTF">2025-08-04T11:29:58Z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2052-12.1.0.22215</vt:lpwstr>
  </property>
  <property fmtid="{D5CDD505-2E9C-101B-9397-08002B2CF9AE}" pid="3" name="ICV">
    <vt:lpwstr>0F39BA32C76A4A19B8F749123456F358_12</vt:lpwstr>
  </property>
  <property fmtid="{D5CDD505-2E9C-101B-9397-08002B2CF9AE}" pid="4" name="KSOTemplateDocerSaveRecord">
    <vt:lpwstr>eyJoZGlkIjoiODViY2JkMjU3NGYzZTEwMzZmMGFkZWViYmNkYWU3NDIiLCJ1c2VySWQiOiIxNDY5NDY1MTg2In0=</vt:lpwstr>
  </property>
</Properties>
</file>