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6FD259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both"/>
        <w:textAlignment w:val="auto"/>
        <w:rPr>
          <w:rFonts w:hint="default" w:ascii="仿宋_GB2312" w:hAnsi="仿宋_GB2312" w:eastAsia="仿宋_GB2312" w:cs="仿宋_GB2312"/>
          <w:b/>
          <w:bCs/>
          <w:sz w:val="32"/>
          <w:szCs w:val="32"/>
          <w:vertAlign w:val="baseli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vertAlign w:val="baseline"/>
          <w:lang w:val="en-US" w:eastAsia="zh-CN"/>
        </w:rPr>
        <w:t>一、报价表</w:t>
      </w:r>
    </w:p>
    <w:p w14:paraId="2EE5297B"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b/>
          <w:color w:val="000000"/>
          <w:kern w:val="0"/>
          <w:sz w:val="32"/>
          <w:szCs w:val="32"/>
          <w:lang w:bidi="ar"/>
        </w:rPr>
      </w:pPr>
    </w:p>
    <w:p w14:paraId="0B859284"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b/>
          <w:color w:val="000000"/>
          <w:kern w:val="0"/>
          <w:sz w:val="32"/>
          <w:szCs w:val="32"/>
          <w:lang w:bidi="ar"/>
        </w:rPr>
      </w:pPr>
      <w:r>
        <w:rPr>
          <w:rFonts w:hint="eastAsia" w:ascii="宋体" w:hAnsi="宋体" w:eastAsia="宋体" w:cs="宋体"/>
          <w:b/>
          <w:color w:val="000000"/>
          <w:kern w:val="0"/>
          <w:sz w:val="32"/>
          <w:szCs w:val="32"/>
          <w:lang w:bidi="ar"/>
        </w:rPr>
        <w:t>广西旅发集团广西自贸区医</w:t>
      </w:r>
      <w:r>
        <w:rPr>
          <w:rFonts w:hint="eastAsia" w:ascii="宋体" w:hAnsi="宋体" w:eastAsia="宋体" w:cs="宋体"/>
          <w:b/>
          <w:color w:val="000000"/>
          <w:kern w:val="0"/>
          <w:sz w:val="32"/>
          <w:szCs w:val="32"/>
          <w:lang w:eastAsia="zh-CN" w:bidi="ar"/>
        </w:rPr>
        <w:t>开荒保洁</w:t>
      </w:r>
      <w:r>
        <w:rPr>
          <w:rFonts w:hint="eastAsia" w:ascii="宋体" w:hAnsi="宋体" w:eastAsia="宋体" w:cs="宋体"/>
          <w:b/>
          <w:color w:val="000000"/>
          <w:kern w:val="0"/>
          <w:sz w:val="32"/>
          <w:szCs w:val="32"/>
          <w:lang w:val="en-US" w:eastAsia="zh-CN" w:bidi="ar"/>
        </w:rPr>
        <w:t>及除甲醛服务</w:t>
      </w:r>
      <w:r>
        <w:rPr>
          <w:rFonts w:hint="eastAsia" w:ascii="宋体" w:hAnsi="宋体" w:eastAsia="宋体" w:cs="宋体"/>
          <w:b/>
          <w:color w:val="000000"/>
          <w:kern w:val="0"/>
          <w:sz w:val="32"/>
          <w:szCs w:val="32"/>
          <w:lang w:bidi="ar"/>
        </w:rPr>
        <w:t>采购</w:t>
      </w:r>
    </w:p>
    <w:p w14:paraId="7F57168A"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b/>
          <w:color w:val="000000"/>
          <w:kern w:val="0"/>
          <w:sz w:val="32"/>
          <w:szCs w:val="32"/>
          <w:lang w:bidi="ar"/>
        </w:rPr>
      </w:pPr>
      <w:bookmarkStart w:id="0" w:name="_GoBack"/>
      <w:bookmarkEnd w:id="0"/>
      <w:r>
        <w:rPr>
          <w:rFonts w:hint="eastAsia" w:ascii="宋体" w:hAnsi="宋体" w:eastAsia="宋体" w:cs="宋体"/>
          <w:b/>
          <w:color w:val="000000"/>
          <w:kern w:val="0"/>
          <w:sz w:val="32"/>
          <w:szCs w:val="32"/>
          <w:lang w:bidi="ar"/>
        </w:rPr>
        <w:t>项目报价表</w:t>
      </w:r>
    </w:p>
    <w:p w14:paraId="512EF7B9"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b/>
          <w:color w:val="000000"/>
          <w:kern w:val="0"/>
          <w:sz w:val="32"/>
          <w:szCs w:val="32"/>
          <w:lang w:bidi="ar"/>
        </w:rPr>
      </w:pPr>
    </w:p>
    <w:tbl>
      <w:tblPr>
        <w:tblStyle w:val="3"/>
        <w:tblW w:w="1041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47"/>
        <w:gridCol w:w="1635"/>
        <w:gridCol w:w="1732"/>
        <w:gridCol w:w="2483"/>
        <w:gridCol w:w="1890"/>
        <w:gridCol w:w="1330"/>
      </w:tblGrid>
      <w:tr w14:paraId="6B361E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61" w:hRule="atLeast"/>
          <w:jc w:val="center"/>
        </w:trPr>
        <w:tc>
          <w:tcPr>
            <w:tcW w:w="1347" w:type="dxa"/>
            <w:noWrap w:val="0"/>
            <w:vAlign w:val="center"/>
          </w:tcPr>
          <w:p w14:paraId="6EFD64FB">
            <w:pPr>
              <w:jc w:val="center"/>
              <w:rPr>
                <w:rFonts w:hint="eastAsia" w:ascii="仿宋_GB2312" w:hAnsi="仿宋_GB2312" w:eastAsia="仿宋_GB2312" w:cs="仿宋_GB2312"/>
                <w:b/>
                <w:bCs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 w:val="0"/>
                <w:sz w:val="28"/>
                <w:szCs w:val="28"/>
              </w:rPr>
              <w:t>服务项目</w:t>
            </w:r>
          </w:p>
        </w:tc>
        <w:tc>
          <w:tcPr>
            <w:tcW w:w="1635" w:type="dxa"/>
            <w:noWrap w:val="0"/>
            <w:vAlign w:val="center"/>
          </w:tcPr>
          <w:p w14:paraId="6D7A5091">
            <w:pPr>
              <w:jc w:val="center"/>
              <w:rPr>
                <w:rFonts w:hint="eastAsia" w:ascii="仿宋_GB2312" w:hAnsi="仿宋_GB2312" w:eastAsia="仿宋_GB2312" w:cs="仿宋_GB2312"/>
                <w:b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 w:val="0"/>
                <w:sz w:val="28"/>
                <w:szCs w:val="28"/>
              </w:rPr>
              <w:t>服务</w:t>
            </w:r>
            <w:r>
              <w:rPr>
                <w:rFonts w:hint="eastAsia" w:ascii="仿宋_GB2312" w:hAnsi="仿宋_GB2312" w:eastAsia="仿宋_GB2312" w:cs="仿宋_GB2312"/>
                <w:b/>
                <w:bCs w:val="0"/>
                <w:sz w:val="28"/>
                <w:szCs w:val="28"/>
                <w:lang w:val="en-US" w:eastAsia="zh-CN"/>
              </w:rPr>
              <w:t>范围</w:t>
            </w:r>
          </w:p>
        </w:tc>
        <w:tc>
          <w:tcPr>
            <w:tcW w:w="1732" w:type="dxa"/>
            <w:noWrap w:val="0"/>
            <w:vAlign w:val="center"/>
          </w:tcPr>
          <w:p w14:paraId="76EC8F33">
            <w:pPr>
              <w:jc w:val="center"/>
              <w:rPr>
                <w:rFonts w:hint="eastAsia" w:ascii="仿宋_GB2312" w:hAnsi="仿宋_GB2312" w:eastAsia="仿宋_GB2312" w:cs="仿宋_GB2312"/>
                <w:b/>
                <w:bCs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 w:val="0"/>
                <w:sz w:val="28"/>
                <w:szCs w:val="28"/>
              </w:rPr>
              <w:t>暂定面积</w:t>
            </w:r>
          </w:p>
          <w:p w14:paraId="395CD133">
            <w:pPr>
              <w:jc w:val="center"/>
              <w:rPr>
                <w:rFonts w:hint="eastAsia" w:ascii="仿宋_GB2312" w:hAnsi="仿宋_GB2312" w:eastAsia="仿宋_GB2312" w:cs="仿宋_GB2312"/>
                <w:b/>
                <w:bCs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 w:val="0"/>
                <w:sz w:val="28"/>
                <w:szCs w:val="28"/>
              </w:rPr>
              <w:t>（平方米）</w:t>
            </w:r>
          </w:p>
        </w:tc>
        <w:tc>
          <w:tcPr>
            <w:tcW w:w="2483" w:type="dxa"/>
            <w:noWrap w:val="0"/>
            <w:vAlign w:val="center"/>
          </w:tcPr>
          <w:p w14:paraId="3FB6D3FA">
            <w:pPr>
              <w:jc w:val="center"/>
              <w:rPr>
                <w:rFonts w:hint="eastAsia" w:ascii="仿宋_GB2312" w:hAnsi="仿宋_GB2312" w:eastAsia="仿宋_GB2312" w:cs="仿宋_GB2312"/>
                <w:b/>
                <w:bCs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 w:val="0"/>
                <w:sz w:val="28"/>
                <w:szCs w:val="28"/>
              </w:rPr>
              <w:t>综合单价</w:t>
            </w:r>
          </w:p>
          <w:p w14:paraId="5A45AA67">
            <w:pPr>
              <w:jc w:val="center"/>
              <w:rPr>
                <w:rFonts w:hint="eastAsia" w:ascii="仿宋_GB2312" w:hAnsi="仿宋_GB2312" w:eastAsia="仿宋_GB2312" w:cs="仿宋_GB2312"/>
                <w:b/>
                <w:bCs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 w:val="0"/>
                <w:sz w:val="28"/>
                <w:szCs w:val="28"/>
              </w:rPr>
              <w:t>（元/平方米）</w:t>
            </w:r>
          </w:p>
        </w:tc>
        <w:tc>
          <w:tcPr>
            <w:tcW w:w="1890" w:type="dxa"/>
            <w:noWrap w:val="0"/>
            <w:vAlign w:val="center"/>
          </w:tcPr>
          <w:p w14:paraId="0C8ABD51">
            <w:pPr>
              <w:jc w:val="center"/>
              <w:rPr>
                <w:rFonts w:hint="eastAsia" w:ascii="仿宋_GB2312" w:hAnsi="仿宋_GB2312" w:eastAsia="仿宋_GB2312" w:cs="仿宋_GB2312"/>
                <w:b/>
                <w:bCs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 w:val="0"/>
                <w:sz w:val="28"/>
                <w:szCs w:val="28"/>
              </w:rPr>
              <w:t>小计</w:t>
            </w:r>
          </w:p>
          <w:p w14:paraId="5025AEBC">
            <w:pPr>
              <w:jc w:val="center"/>
              <w:rPr>
                <w:rFonts w:hint="eastAsia" w:ascii="仿宋_GB2312" w:hAnsi="仿宋_GB2312" w:eastAsia="仿宋_GB2312" w:cs="仿宋_GB2312"/>
                <w:b/>
                <w:bCs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 w:val="0"/>
                <w:sz w:val="28"/>
                <w:szCs w:val="28"/>
              </w:rPr>
              <w:t>（元）</w:t>
            </w:r>
          </w:p>
        </w:tc>
        <w:tc>
          <w:tcPr>
            <w:tcW w:w="1330" w:type="dxa"/>
            <w:noWrap w:val="0"/>
            <w:vAlign w:val="center"/>
          </w:tcPr>
          <w:p w14:paraId="2E533CE3">
            <w:pPr>
              <w:jc w:val="center"/>
              <w:rPr>
                <w:rFonts w:hint="eastAsia" w:ascii="仿宋_GB2312" w:hAnsi="仿宋_GB2312" w:eastAsia="仿宋_GB2312" w:cs="仿宋_GB2312"/>
                <w:b/>
                <w:bCs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 w:val="0"/>
                <w:sz w:val="28"/>
                <w:szCs w:val="28"/>
              </w:rPr>
              <w:t>备注</w:t>
            </w:r>
          </w:p>
        </w:tc>
      </w:tr>
      <w:tr w14:paraId="466E43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4" w:hRule="atLeast"/>
          <w:jc w:val="center"/>
        </w:trPr>
        <w:tc>
          <w:tcPr>
            <w:tcW w:w="1347" w:type="dxa"/>
            <w:noWrap w:val="0"/>
            <w:vAlign w:val="center"/>
          </w:tcPr>
          <w:p w14:paraId="13EFCABA">
            <w:pPr>
              <w:jc w:val="center"/>
              <w:rPr>
                <w:rFonts w:hint="eastAsia" w:ascii="仿宋_GB2312" w:hAnsi="仿宋_GB2312" w:eastAsia="仿宋_GB2312" w:cs="仿宋_GB2312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  <w:lang w:val="en-US" w:eastAsia="zh-CN"/>
              </w:rPr>
              <w:t>清洁开荒</w:t>
            </w:r>
          </w:p>
        </w:tc>
        <w:tc>
          <w:tcPr>
            <w:tcW w:w="1635" w:type="dxa"/>
            <w:noWrap w:val="0"/>
            <w:vAlign w:val="center"/>
          </w:tcPr>
          <w:p w14:paraId="32B46CA4">
            <w:pPr>
              <w:jc w:val="center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  <w:lang w:eastAsia="zh-CN"/>
              </w:rPr>
              <w:t>综合大楼</w:t>
            </w:r>
          </w:p>
        </w:tc>
        <w:tc>
          <w:tcPr>
            <w:tcW w:w="1732" w:type="dxa"/>
            <w:noWrap w:val="0"/>
            <w:vAlign w:val="center"/>
          </w:tcPr>
          <w:p w14:paraId="7E917E4B">
            <w:pPr>
              <w:jc w:val="center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u w:val="single"/>
                <w:lang w:val="en-US" w:eastAsia="zh-CN"/>
              </w:rPr>
              <w:t>60000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㎡</w:t>
            </w:r>
          </w:p>
        </w:tc>
        <w:tc>
          <w:tcPr>
            <w:tcW w:w="2483" w:type="dxa"/>
            <w:noWrap w:val="0"/>
            <w:vAlign w:val="center"/>
          </w:tcPr>
          <w:p w14:paraId="1C11CD01">
            <w:pPr>
              <w:jc w:val="center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</w:p>
        </w:tc>
        <w:tc>
          <w:tcPr>
            <w:tcW w:w="1890" w:type="dxa"/>
            <w:noWrap w:val="0"/>
            <w:vAlign w:val="center"/>
          </w:tcPr>
          <w:p w14:paraId="7A96DACE">
            <w:pPr>
              <w:jc w:val="center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</w:p>
        </w:tc>
        <w:tc>
          <w:tcPr>
            <w:tcW w:w="1330" w:type="dxa"/>
            <w:noWrap w:val="0"/>
            <w:vAlign w:val="center"/>
          </w:tcPr>
          <w:p w14:paraId="6EC0D8FB">
            <w:pPr>
              <w:jc w:val="center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</w:p>
        </w:tc>
      </w:tr>
      <w:tr w14:paraId="51A114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4" w:hRule="atLeast"/>
          <w:jc w:val="center"/>
        </w:trPr>
        <w:tc>
          <w:tcPr>
            <w:tcW w:w="1347" w:type="dxa"/>
            <w:noWrap w:val="0"/>
            <w:vAlign w:val="center"/>
          </w:tcPr>
          <w:p w14:paraId="6EFD1489">
            <w:pPr>
              <w:jc w:val="center"/>
              <w:rPr>
                <w:rFonts w:hint="eastAsia" w:ascii="仿宋_GB2312" w:hAnsi="仿宋_GB2312" w:eastAsia="仿宋_GB2312" w:cs="仿宋_GB2312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  <w:lang w:val="en-US" w:eastAsia="zh-CN"/>
              </w:rPr>
              <w:t>除甲醛</w:t>
            </w:r>
          </w:p>
        </w:tc>
        <w:tc>
          <w:tcPr>
            <w:tcW w:w="1635" w:type="dxa"/>
            <w:noWrap w:val="0"/>
            <w:vAlign w:val="center"/>
          </w:tcPr>
          <w:p w14:paraId="1C8D99EE">
            <w:pPr>
              <w:jc w:val="center"/>
              <w:rPr>
                <w:rFonts w:hint="eastAsia" w:ascii="仿宋_GB2312" w:hAnsi="仿宋_GB2312" w:eastAsia="仿宋_GB2312" w:cs="仿宋_GB2312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  <w:lang w:eastAsia="zh-CN"/>
              </w:rPr>
              <w:t>综合大楼</w:t>
            </w: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  <w:lang w:val="en-US" w:eastAsia="zh-CN"/>
              </w:rPr>
              <w:t>-1-12</w:t>
            </w:r>
          </w:p>
        </w:tc>
        <w:tc>
          <w:tcPr>
            <w:tcW w:w="1732" w:type="dxa"/>
            <w:noWrap w:val="0"/>
            <w:vAlign w:val="center"/>
          </w:tcPr>
          <w:p w14:paraId="6ED50807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9间房</w:t>
            </w:r>
          </w:p>
        </w:tc>
        <w:tc>
          <w:tcPr>
            <w:tcW w:w="2483" w:type="dxa"/>
            <w:noWrap w:val="0"/>
            <w:vAlign w:val="center"/>
          </w:tcPr>
          <w:p w14:paraId="0E30B0A4">
            <w:pPr>
              <w:jc w:val="center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</w:p>
        </w:tc>
        <w:tc>
          <w:tcPr>
            <w:tcW w:w="1890" w:type="dxa"/>
            <w:noWrap w:val="0"/>
            <w:vAlign w:val="center"/>
          </w:tcPr>
          <w:p w14:paraId="0EA6C70A">
            <w:pPr>
              <w:jc w:val="center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</w:p>
        </w:tc>
        <w:tc>
          <w:tcPr>
            <w:tcW w:w="1330" w:type="dxa"/>
            <w:noWrap w:val="0"/>
            <w:vAlign w:val="center"/>
          </w:tcPr>
          <w:p w14:paraId="02B9A1E7">
            <w:pPr>
              <w:jc w:val="center"/>
              <w:rPr>
                <w:rFonts w:hint="eastAsia" w:ascii="仿宋_GB2312" w:hAnsi="仿宋_GB2312" w:eastAsia="仿宋_GB2312" w:cs="仿宋_GB2312"/>
                <w:bCs/>
                <w:sz w:val="28"/>
                <w:szCs w:val="28"/>
                <w:lang w:eastAsia="zh-CN"/>
              </w:rPr>
            </w:pPr>
          </w:p>
        </w:tc>
      </w:tr>
      <w:tr w14:paraId="6029E4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9" w:hRule="atLeast"/>
          <w:jc w:val="center"/>
        </w:trPr>
        <w:tc>
          <w:tcPr>
            <w:tcW w:w="10417" w:type="dxa"/>
            <w:gridSpan w:val="6"/>
            <w:noWrap w:val="0"/>
            <w:vAlign w:val="center"/>
          </w:tcPr>
          <w:p w14:paraId="65AD0AFE">
            <w:pPr>
              <w:pStyle w:val="2"/>
              <w:keepNext w:val="0"/>
              <w:keepLines w:val="0"/>
              <w:pageBreakBefore w:val="0"/>
              <w:widowControl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80" w:lineRule="exact"/>
              <w:ind w:left="0" w:leftChars="0" w:firstLine="0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</w:rPr>
              <w:t>注：1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  <w:t>.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</w:rPr>
              <w:t>以上金额包括人员的工资、住宿、服装、餐饮、福利、培训、清洁工具及设施设备、清洁材料、垃圾堆放到采购单位指定地点及清洁工作所产生的所有措施费用，发生工伤事故的赔偿费用、国家规定节假日加班费用、赶工费、各种施工风险、技术措施费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</w:rPr>
              <w:t>包括雨季及异常气候施工措施费等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eastAsia="zh-CN"/>
              </w:rPr>
              <w:t>）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</w:rPr>
              <w:t>、管理费、文明安全施工措施费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eastAsia="zh-CN"/>
              </w:rPr>
              <w:t>及其他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</w:rPr>
              <w:t>措施费、税费、利润、重复开荒费用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eastAsia="zh-CN"/>
              </w:rPr>
              <w:t>及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  <w:t>去除甲醛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</w:rPr>
              <w:t>完成整个项目所需的一切费用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eastAsia="zh-CN"/>
              </w:rPr>
              <w:t>，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  <w:t>去除甲醛需出具权威检测合格报告，验收合格后支付项目费用。</w:t>
            </w:r>
          </w:p>
          <w:p w14:paraId="2B5A498E">
            <w:pPr>
              <w:pStyle w:val="2"/>
              <w:keepNext w:val="0"/>
              <w:keepLines w:val="0"/>
              <w:pageBreakBefore w:val="0"/>
              <w:widowControl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00" w:lineRule="exact"/>
              <w:ind w:firstLine="560" w:firstLineChars="200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  <w:t>2.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  <w:t>综合包干单价在服务期限内不因市场、人工、材料价格等任何因素变动而调整。</w:t>
            </w:r>
          </w:p>
          <w:p w14:paraId="701237D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firstLine="1120" w:firstLineChars="400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</w:rPr>
            </w:pPr>
          </w:p>
        </w:tc>
      </w:tr>
    </w:tbl>
    <w:p w14:paraId="7394DF94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2EA1E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2025-02-24T02:07:21Z</dcterms:created>
  <dc:creator>Windows</dc:creator>
  <cp:lastModifiedBy>wulan</cp:lastModifiedBy>
  <dcterms:modified xsi:type="dcterms:W3CDTF">2025-02-24T02:10:13Z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KSOTemplateDocerSaveRecord">
    <vt:lpwstr>eyJoZGlkIjoiMTgyY2Y5Y2UxZjkwY2NiYzg1MTM4ZmQzOTFhYWJhY2IiLCJ1c2VySWQiOiI3MjQyMTA1ODQifQ==</vt:lpwstr>
  </property>
  <property fmtid="{D5CDD505-2E9C-101B-9397-08002B2CF9AE}" pid="4" name="ICV">
    <vt:lpwstr>691FA20F39E84933B3EDCD628A7A731A_12</vt:lpwstr>
  </property>
</Properties>
</file>