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8AE7A6">
      <w:pPr>
        <w:jc w:val="center"/>
        <w:rPr>
          <w:rStyle w:val="9"/>
          <w:rFonts w:hint="eastAsia" w:ascii="宋体" w:hAnsi="宋体" w:eastAsia="宋体" w:cs="宋体"/>
          <w:color w:val="000000" w:themeColor="text1"/>
          <w:sz w:val="24"/>
          <w:szCs w:val="24"/>
          <w:highlight w:val="none"/>
          <w:lang w:eastAsia="zh-CN"/>
          <w14:textFill>
            <w14:solidFill>
              <w14:schemeClr w14:val="tx1"/>
            </w14:solidFill>
          </w14:textFill>
        </w:rPr>
      </w:pPr>
      <w:r>
        <w:rPr>
          <w:rStyle w:val="9"/>
          <w:rFonts w:hint="eastAsia" w:ascii="宋体" w:hAnsi="宋体" w:eastAsia="宋体" w:cs="宋体"/>
          <w:color w:val="000000" w:themeColor="text1"/>
          <w:sz w:val="24"/>
          <w:szCs w:val="24"/>
          <w:highlight w:val="none"/>
          <w:lang w:eastAsia="zh-CN"/>
          <w14:textFill>
            <w14:solidFill>
              <w14:schemeClr w14:val="tx1"/>
            </w14:solidFill>
          </w14:textFill>
        </w:rPr>
        <w:t>评标办法</w:t>
      </w:r>
    </w:p>
    <w:p w14:paraId="603BEB85">
      <w:pPr>
        <w:jc w:val="center"/>
        <w:rPr>
          <w:rStyle w:val="9"/>
          <w:rFonts w:hint="eastAsia" w:ascii="宋体" w:hAnsi="宋体" w:eastAsia="宋体" w:cs="宋体"/>
          <w:color w:val="000000" w:themeColor="text1"/>
          <w:sz w:val="24"/>
          <w:szCs w:val="24"/>
          <w:highlight w:val="none"/>
          <w:lang w:eastAsia="zh-CN"/>
          <w14:textFill>
            <w14:solidFill>
              <w14:schemeClr w14:val="tx1"/>
            </w14:solidFill>
          </w14:textFill>
        </w:rPr>
      </w:pPr>
      <w:r>
        <w:rPr>
          <w:rStyle w:val="9"/>
          <w:rFonts w:hint="eastAsia" w:ascii="宋体" w:hAnsi="宋体" w:eastAsia="宋体" w:cs="宋体"/>
          <w:color w:val="000000" w:themeColor="text1"/>
          <w:sz w:val="24"/>
          <w:szCs w:val="24"/>
          <w:highlight w:val="none"/>
          <w:lang w:eastAsia="zh-CN"/>
          <w14:textFill>
            <w14:solidFill>
              <w14:schemeClr w14:val="tx1"/>
            </w14:solidFill>
          </w14:textFill>
        </w:rPr>
        <w:t>（满分：</w:t>
      </w:r>
      <w:r>
        <w:rPr>
          <w:rStyle w:val="9"/>
          <w:rFonts w:hint="eastAsia" w:ascii="宋体" w:hAnsi="宋体" w:eastAsia="宋体" w:cs="宋体"/>
          <w:color w:val="000000" w:themeColor="text1"/>
          <w:sz w:val="24"/>
          <w:szCs w:val="24"/>
          <w:highlight w:val="none"/>
          <w:lang w:val="en-US" w:eastAsia="zh-CN"/>
          <w14:textFill>
            <w14:solidFill>
              <w14:schemeClr w14:val="tx1"/>
            </w14:solidFill>
          </w14:textFill>
        </w:rPr>
        <w:t>100分</w:t>
      </w:r>
      <w:r>
        <w:rPr>
          <w:rStyle w:val="9"/>
          <w:rFonts w:hint="eastAsia" w:ascii="宋体" w:hAnsi="宋体" w:eastAsia="宋体" w:cs="宋体"/>
          <w:color w:val="000000" w:themeColor="text1"/>
          <w:sz w:val="24"/>
          <w:szCs w:val="24"/>
          <w:highlight w:val="none"/>
          <w:lang w:eastAsia="zh-CN"/>
          <w14:textFill>
            <w14:solidFill>
              <w14:schemeClr w14:val="tx1"/>
            </w14:solidFill>
          </w14:textFill>
        </w:rPr>
        <w:t>）</w:t>
      </w:r>
    </w:p>
    <w:tbl>
      <w:tblPr>
        <w:tblStyle w:val="7"/>
        <w:tblW w:w="93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9"/>
        <w:gridCol w:w="1023"/>
        <w:gridCol w:w="1324"/>
        <w:gridCol w:w="6477"/>
      </w:tblGrid>
      <w:tr w14:paraId="675EA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 w:hRule="atLeast"/>
        </w:trPr>
        <w:tc>
          <w:tcPr>
            <w:tcW w:w="1592" w:type="dxa"/>
            <w:gridSpan w:val="2"/>
            <w:tcBorders>
              <w:top w:val="single" w:color="auto" w:sz="4" w:space="0"/>
              <w:left w:val="single" w:color="auto" w:sz="4" w:space="0"/>
              <w:bottom w:val="single" w:color="auto" w:sz="4" w:space="0"/>
              <w:right w:val="single" w:color="auto" w:sz="4" w:space="0"/>
            </w:tcBorders>
          </w:tcPr>
          <w:p w14:paraId="273228C8">
            <w:pPr>
              <w:adjustRightInd w:val="0"/>
              <w:spacing w:line="440" w:lineRule="exact"/>
              <w:textAlignment w:val="baseline"/>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highlight w:val="none"/>
                <w14:textFill>
                  <w14:solidFill>
                    <w14:schemeClr w14:val="tx1"/>
                  </w14:solidFill>
                </w14:textFill>
              </w:rPr>
              <w:t>序号</w:t>
            </w:r>
          </w:p>
        </w:tc>
        <w:tc>
          <w:tcPr>
            <w:tcW w:w="1324" w:type="dxa"/>
            <w:tcBorders>
              <w:top w:val="single" w:color="auto" w:sz="4" w:space="0"/>
              <w:left w:val="single" w:color="auto" w:sz="4" w:space="0"/>
              <w:bottom w:val="single" w:color="auto" w:sz="4" w:space="0"/>
              <w:right w:val="single" w:color="auto" w:sz="4" w:space="0"/>
            </w:tcBorders>
          </w:tcPr>
          <w:p w14:paraId="6B39FAD1">
            <w:pPr>
              <w:adjustRightInd w:val="0"/>
              <w:spacing w:line="440" w:lineRule="exact"/>
              <w:textAlignment w:val="baseline"/>
              <w:rPr>
                <w:rFonts w:ascii="宋体" w:hAnsi="宋体"/>
                <w:color w:val="000000" w:themeColor="text1"/>
                <w:szCs w:val="21"/>
                <w:highlight w:val="none"/>
                <w14:textFill>
                  <w14:solidFill>
                    <w14:schemeClr w14:val="tx1"/>
                  </w14:solidFill>
                </w14:textFill>
              </w:rPr>
            </w:pPr>
            <w:r>
              <w:rPr>
                <w:rFonts w:hint="eastAsia" w:ascii="宋体" w:hAnsi="宋体"/>
                <w:b/>
                <w:color w:val="000000" w:themeColor="text1"/>
                <w:highlight w:val="none"/>
                <w14:textFill>
                  <w14:solidFill>
                    <w14:schemeClr w14:val="tx1"/>
                  </w14:solidFill>
                </w14:textFill>
              </w:rPr>
              <w:t>评审因素</w:t>
            </w:r>
          </w:p>
        </w:tc>
        <w:tc>
          <w:tcPr>
            <w:tcW w:w="6477" w:type="dxa"/>
            <w:tcBorders>
              <w:top w:val="single" w:color="auto" w:sz="4" w:space="0"/>
              <w:left w:val="single" w:color="auto" w:sz="4" w:space="0"/>
              <w:bottom w:val="single" w:color="auto" w:sz="4" w:space="0"/>
              <w:right w:val="single" w:color="auto" w:sz="4" w:space="0"/>
            </w:tcBorders>
          </w:tcPr>
          <w:p w14:paraId="185AC5A9">
            <w:pPr>
              <w:adjustRightInd w:val="0"/>
              <w:spacing w:line="440" w:lineRule="exact"/>
              <w:jc w:val="center"/>
              <w:textAlignment w:val="baseline"/>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highlight w:val="none"/>
                <w14:textFill>
                  <w14:solidFill>
                    <w14:schemeClr w14:val="tx1"/>
                  </w14:solidFill>
                </w14:textFill>
              </w:rPr>
              <w:t>评标标准</w:t>
            </w:r>
          </w:p>
        </w:tc>
      </w:tr>
      <w:tr w14:paraId="484F8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569" w:type="dxa"/>
            <w:tcBorders>
              <w:top w:val="single" w:color="auto" w:sz="4" w:space="0"/>
              <w:left w:val="single" w:color="auto" w:sz="4" w:space="0"/>
              <w:bottom w:val="single" w:color="auto" w:sz="4" w:space="0"/>
              <w:right w:val="single" w:color="auto" w:sz="4" w:space="0"/>
            </w:tcBorders>
            <w:vAlign w:val="center"/>
          </w:tcPr>
          <w:p w14:paraId="22E0663D">
            <w:pPr>
              <w:adjustRightInd w:val="0"/>
              <w:spacing w:line="440" w:lineRule="exact"/>
              <w:jc w:val="center"/>
              <w:textAlignment w:val="baseline"/>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1</w:t>
            </w:r>
          </w:p>
        </w:tc>
        <w:tc>
          <w:tcPr>
            <w:tcW w:w="1023" w:type="dxa"/>
            <w:tcBorders>
              <w:top w:val="single" w:color="auto" w:sz="4" w:space="0"/>
              <w:left w:val="single" w:color="auto" w:sz="4" w:space="0"/>
              <w:bottom w:val="single" w:color="auto" w:sz="4" w:space="0"/>
              <w:right w:val="single" w:color="auto" w:sz="4" w:space="0"/>
            </w:tcBorders>
            <w:vAlign w:val="center"/>
          </w:tcPr>
          <w:p w14:paraId="21B8AA06">
            <w:pPr>
              <w:adjustRightInd w:val="0"/>
              <w:spacing w:line="440" w:lineRule="exact"/>
              <w:jc w:val="center"/>
              <w:textAlignment w:val="baseline"/>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价格分</w:t>
            </w:r>
          </w:p>
          <w:p w14:paraId="7FB5C8DA">
            <w:pPr>
              <w:adjustRightInd w:val="0"/>
              <w:spacing w:line="440" w:lineRule="exact"/>
              <w:jc w:val="center"/>
              <w:textAlignment w:val="baseline"/>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（满分46分）</w:t>
            </w:r>
          </w:p>
        </w:tc>
        <w:tc>
          <w:tcPr>
            <w:tcW w:w="1324" w:type="dxa"/>
            <w:tcBorders>
              <w:top w:val="single" w:color="auto" w:sz="4" w:space="0"/>
              <w:left w:val="single" w:color="auto" w:sz="4" w:space="0"/>
              <w:bottom w:val="single" w:color="auto" w:sz="4" w:space="0"/>
              <w:right w:val="single" w:color="auto" w:sz="4" w:space="0"/>
            </w:tcBorders>
            <w:vAlign w:val="center"/>
          </w:tcPr>
          <w:p w14:paraId="7B626B5D">
            <w:pPr>
              <w:adjustRightInd w:val="0"/>
              <w:spacing w:line="440" w:lineRule="exact"/>
              <w:jc w:val="center"/>
              <w:textAlignment w:val="baseline"/>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投标报价（满分46分）</w:t>
            </w:r>
          </w:p>
        </w:tc>
        <w:tc>
          <w:tcPr>
            <w:tcW w:w="6477" w:type="dxa"/>
            <w:tcBorders>
              <w:top w:val="single" w:color="auto" w:sz="4" w:space="0"/>
              <w:left w:val="single" w:color="auto" w:sz="4" w:space="0"/>
              <w:bottom w:val="single" w:color="auto" w:sz="4" w:space="0"/>
              <w:right w:val="single" w:color="auto" w:sz="4" w:space="0"/>
            </w:tcBorders>
          </w:tcPr>
          <w:p w14:paraId="3E0E3416">
            <w:pPr>
              <w:pStyle w:val="6"/>
              <w:numPr>
                <w:ilvl w:val="0"/>
                <w:numId w:val="1"/>
              </w:numPr>
              <w:spacing w:line="440" w:lineRule="exac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将所有通过资格后审、符合性审查合格、最终投标报价A在有效报价范围（为项目报价A低于或等于招标控制价，通过资格评审、形式性评审、响应性评审且技术标评审合格，经评标委员会审定不存在严重不平衡、不合理、不低于其企业成本的投标人投标价格。）的投标人为有效报价投标人，评审价格：所有有效报价投标人的报价A的平均值作为评标基准价,</w:t>
            </w:r>
            <w:r>
              <w:rPr>
                <w:rFonts w:hint="eastAsia" w:ascii="宋体" w:hAnsi="宋体" w:eastAsia="宋体" w:cs="宋体"/>
                <w:bCs/>
                <w:color w:val="000000" w:themeColor="text1"/>
                <w:sz w:val="21"/>
                <w:szCs w:val="21"/>
                <w:highlight w:val="none"/>
                <w14:textFill>
                  <w14:solidFill>
                    <w14:schemeClr w14:val="tx1"/>
                  </w14:solidFill>
                </w14:textFill>
              </w:rPr>
              <w:t>评分时以评审价格A的评标基准价为满分45分，采用内插法计算，投标人评审价格A每高于评标基准价1％的扣1分，每低于评标基准价1％的扣0.5分，扣完为止。（以不含税价格计算）</w:t>
            </w:r>
          </w:p>
          <w:p w14:paraId="26CD6727">
            <w:pPr>
              <w:pStyle w:val="6"/>
              <w:spacing w:line="440" w:lineRule="exact"/>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2.对拆除的冷却塔、三台主机、五台水泵(拆除八台，回收五台)进行回收处置报价，报价为B（含税），B价格分为满分1分。</w:t>
            </w:r>
          </w:p>
          <w:p w14:paraId="6FD802D7">
            <w:pPr>
              <w:pStyle w:val="6"/>
              <w:spacing w:line="440" w:lineRule="exact"/>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（1）满足招标文件要求且评标报价最高的评标报价为评标基准价，其价格分为满分。</w:t>
            </w:r>
            <w:r>
              <w:rPr>
                <w:rFonts w:hint="eastAsia" w:ascii="宋体" w:hAnsi="宋体" w:eastAsia="宋体" w:cs="宋体"/>
                <w:bCs/>
                <w:color w:val="000000" w:themeColor="text1"/>
                <w:sz w:val="21"/>
                <w:szCs w:val="21"/>
                <w:highlight w:val="none"/>
                <w14:textFill>
                  <w14:solidFill>
                    <w14:schemeClr w14:val="tx1"/>
                  </w14:solidFill>
                </w14:textFill>
              </w:rPr>
              <w:br w:type="textWrapping"/>
            </w:r>
            <w:r>
              <w:rPr>
                <w:rFonts w:hint="eastAsia" w:ascii="宋体" w:hAnsi="宋体" w:eastAsia="宋体" w:cs="宋体"/>
                <w:bCs/>
                <w:color w:val="000000" w:themeColor="text1"/>
                <w:sz w:val="21"/>
                <w:szCs w:val="21"/>
                <w:highlight w:val="none"/>
                <w14:textFill>
                  <w14:solidFill>
                    <w14:schemeClr w14:val="tx1"/>
                  </w14:solidFill>
                </w14:textFill>
              </w:rPr>
              <w:t>（2）回收处置价格分计算公式：投标人价格得分=(投标人报价/基准价）*1。</w:t>
            </w:r>
          </w:p>
          <w:p w14:paraId="1BA7CFB1">
            <w:pPr>
              <w:spacing w:line="36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处置设备列表详见</w:t>
            </w:r>
            <w:r>
              <w:rPr>
                <w:rFonts w:hint="eastAsia" w:ascii="宋体" w:hAnsi="宋体" w:cs="宋体"/>
                <w:bCs/>
                <w:color w:val="000000" w:themeColor="text1"/>
                <w:sz w:val="21"/>
                <w:szCs w:val="21"/>
                <w:highlight w:val="none"/>
                <w:lang w:eastAsia="zh-CN"/>
                <w14:textFill>
                  <w14:solidFill>
                    <w14:schemeClr w14:val="tx1"/>
                  </w14:solidFill>
                </w14:textFill>
              </w:rPr>
              <w:t>附件</w:t>
            </w:r>
            <w:r>
              <w:rPr>
                <w:rFonts w:hint="eastAsia" w:ascii="宋体" w:hAnsi="宋体" w:cs="宋体"/>
                <w:bCs/>
                <w:color w:val="000000" w:themeColor="text1"/>
                <w:sz w:val="21"/>
                <w:szCs w:val="21"/>
                <w:highlight w:val="none"/>
                <w:lang w:val="en-US" w:eastAsia="zh-CN"/>
                <w14:textFill>
                  <w14:solidFill>
                    <w14:schemeClr w14:val="tx1"/>
                  </w14:solidFill>
                </w14:textFill>
              </w:rPr>
              <w:t>1</w:t>
            </w:r>
            <w:r>
              <w:rPr>
                <w:rFonts w:hint="eastAsia" w:ascii="宋体" w:hAnsi="宋体" w:eastAsia="宋体" w:cs="宋体"/>
                <w:bCs/>
                <w:color w:val="000000" w:themeColor="text1"/>
                <w:sz w:val="21"/>
                <w:szCs w:val="21"/>
                <w:highlight w:val="none"/>
                <w14:textFill>
                  <w14:solidFill>
                    <w14:schemeClr w14:val="tx1"/>
                  </w14:solidFill>
                </w14:textFill>
              </w:rPr>
              <w:t>“回收处置报价设备清单”。</w:t>
            </w:r>
          </w:p>
        </w:tc>
      </w:tr>
      <w:tr w14:paraId="7E824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69" w:type="dxa"/>
            <w:vMerge w:val="restart"/>
            <w:tcBorders>
              <w:top w:val="nil"/>
              <w:left w:val="single" w:color="auto" w:sz="4" w:space="0"/>
              <w:bottom w:val="single" w:color="auto" w:sz="4" w:space="0"/>
              <w:right w:val="single" w:color="auto" w:sz="4" w:space="0"/>
            </w:tcBorders>
            <w:vAlign w:val="center"/>
          </w:tcPr>
          <w:p w14:paraId="0729CE1D">
            <w:pPr>
              <w:adjustRightInd w:val="0"/>
              <w:spacing w:line="440" w:lineRule="exact"/>
              <w:jc w:val="center"/>
              <w:textAlignment w:val="baseline"/>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2</w:t>
            </w:r>
          </w:p>
        </w:tc>
        <w:tc>
          <w:tcPr>
            <w:tcW w:w="1023" w:type="dxa"/>
            <w:vMerge w:val="restart"/>
            <w:tcBorders>
              <w:top w:val="nil"/>
              <w:left w:val="single" w:color="auto" w:sz="4" w:space="0"/>
              <w:bottom w:val="single" w:color="auto" w:sz="4" w:space="0"/>
              <w:right w:val="single" w:color="auto" w:sz="4" w:space="0"/>
            </w:tcBorders>
            <w:vAlign w:val="center"/>
          </w:tcPr>
          <w:p w14:paraId="6942EC61">
            <w:pPr>
              <w:adjustRightInd w:val="0"/>
              <w:spacing w:line="440" w:lineRule="exact"/>
              <w:jc w:val="center"/>
              <w:textAlignment w:val="baseline"/>
              <w:rPr>
                <w:rFonts w:hint="eastAsia" w:ascii="宋体" w:hAnsi="宋体" w:eastAsia="宋体" w:cs="宋体"/>
                <w:bCs/>
                <w:color w:val="000000" w:themeColor="text1"/>
                <w:sz w:val="21"/>
                <w:szCs w:val="21"/>
                <w:highlight w:val="none"/>
                <w14:textFill>
                  <w14:solidFill>
                    <w14:schemeClr w14:val="tx1"/>
                  </w14:solidFill>
                </w14:textFill>
              </w:rPr>
            </w:pPr>
          </w:p>
          <w:p w14:paraId="32EA30D1">
            <w:pPr>
              <w:adjustRightInd w:val="0"/>
              <w:spacing w:line="440" w:lineRule="exact"/>
              <w:jc w:val="center"/>
              <w:textAlignment w:val="baseline"/>
              <w:rPr>
                <w:rFonts w:hint="eastAsia" w:ascii="宋体" w:hAnsi="宋体" w:eastAsia="宋体" w:cs="宋体"/>
                <w:bCs/>
                <w:color w:val="000000" w:themeColor="text1"/>
                <w:sz w:val="21"/>
                <w:szCs w:val="21"/>
                <w:highlight w:val="none"/>
                <w14:textFill>
                  <w14:solidFill>
                    <w14:schemeClr w14:val="tx1"/>
                  </w14:solidFill>
                </w14:textFill>
              </w:rPr>
            </w:pPr>
          </w:p>
          <w:p w14:paraId="08E27353">
            <w:pPr>
              <w:adjustRightInd w:val="0"/>
              <w:spacing w:line="440" w:lineRule="exact"/>
              <w:jc w:val="center"/>
              <w:textAlignment w:val="baseline"/>
              <w:rPr>
                <w:rFonts w:hint="eastAsia" w:ascii="宋体" w:hAnsi="宋体" w:eastAsia="宋体" w:cs="宋体"/>
                <w:bCs/>
                <w:color w:val="000000" w:themeColor="text1"/>
                <w:sz w:val="21"/>
                <w:szCs w:val="21"/>
                <w:highlight w:val="none"/>
                <w14:textFill>
                  <w14:solidFill>
                    <w14:schemeClr w14:val="tx1"/>
                  </w14:solidFill>
                </w14:textFill>
              </w:rPr>
            </w:pPr>
          </w:p>
          <w:p w14:paraId="0DB36760">
            <w:pPr>
              <w:adjustRightInd w:val="0"/>
              <w:spacing w:line="440" w:lineRule="exact"/>
              <w:jc w:val="center"/>
              <w:textAlignment w:val="baseline"/>
              <w:rPr>
                <w:rFonts w:hint="eastAsia" w:ascii="宋体" w:hAnsi="宋体" w:eastAsia="宋体" w:cs="宋体"/>
                <w:bCs/>
                <w:color w:val="000000" w:themeColor="text1"/>
                <w:sz w:val="21"/>
                <w:szCs w:val="21"/>
                <w:highlight w:val="none"/>
                <w14:textFill>
                  <w14:solidFill>
                    <w14:schemeClr w14:val="tx1"/>
                  </w14:solidFill>
                </w14:textFill>
              </w:rPr>
            </w:pPr>
          </w:p>
          <w:p w14:paraId="7CF26A84">
            <w:pPr>
              <w:adjustRightInd w:val="0"/>
              <w:spacing w:line="440" w:lineRule="exact"/>
              <w:jc w:val="center"/>
              <w:textAlignment w:val="baseline"/>
              <w:rPr>
                <w:rFonts w:hint="eastAsia" w:ascii="宋体" w:hAnsi="宋体" w:eastAsia="宋体" w:cs="宋体"/>
                <w:bCs/>
                <w:color w:val="000000" w:themeColor="text1"/>
                <w:sz w:val="21"/>
                <w:szCs w:val="21"/>
                <w:highlight w:val="none"/>
                <w14:textFill>
                  <w14:solidFill>
                    <w14:schemeClr w14:val="tx1"/>
                  </w14:solidFill>
                </w14:textFill>
              </w:rPr>
            </w:pPr>
          </w:p>
          <w:p w14:paraId="5AA8AC5D">
            <w:pPr>
              <w:adjustRightInd w:val="0"/>
              <w:spacing w:line="440" w:lineRule="exact"/>
              <w:jc w:val="center"/>
              <w:textAlignment w:val="baseline"/>
              <w:rPr>
                <w:rFonts w:hint="eastAsia" w:ascii="宋体" w:hAnsi="宋体" w:eastAsia="宋体" w:cs="宋体"/>
                <w:bCs/>
                <w:color w:val="000000" w:themeColor="text1"/>
                <w:sz w:val="21"/>
                <w:szCs w:val="21"/>
                <w:highlight w:val="none"/>
                <w14:textFill>
                  <w14:solidFill>
                    <w14:schemeClr w14:val="tx1"/>
                  </w14:solidFill>
                </w14:textFill>
              </w:rPr>
            </w:pPr>
          </w:p>
          <w:p w14:paraId="1B7D3EE8">
            <w:pPr>
              <w:adjustRightInd w:val="0"/>
              <w:spacing w:line="440" w:lineRule="exact"/>
              <w:jc w:val="center"/>
              <w:textAlignment w:val="baseline"/>
              <w:rPr>
                <w:rFonts w:hint="eastAsia" w:ascii="宋体" w:hAnsi="宋体" w:eastAsia="宋体" w:cs="宋体"/>
                <w:bCs/>
                <w:color w:val="000000" w:themeColor="text1"/>
                <w:sz w:val="21"/>
                <w:szCs w:val="21"/>
                <w:highlight w:val="none"/>
                <w14:textFill>
                  <w14:solidFill>
                    <w14:schemeClr w14:val="tx1"/>
                  </w14:solidFill>
                </w14:textFill>
              </w:rPr>
            </w:pPr>
          </w:p>
          <w:p w14:paraId="2B134D5A">
            <w:pPr>
              <w:adjustRightInd w:val="0"/>
              <w:spacing w:line="440" w:lineRule="exact"/>
              <w:jc w:val="center"/>
              <w:textAlignment w:val="baseline"/>
              <w:rPr>
                <w:rFonts w:hint="eastAsia" w:ascii="宋体" w:hAnsi="宋体" w:eastAsia="宋体" w:cs="宋体"/>
                <w:bCs/>
                <w:color w:val="000000" w:themeColor="text1"/>
                <w:sz w:val="21"/>
                <w:szCs w:val="21"/>
                <w:highlight w:val="none"/>
                <w14:textFill>
                  <w14:solidFill>
                    <w14:schemeClr w14:val="tx1"/>
                  </w14:solidFill>
                </w14:textFill>
              </w:rPr>
            </w:pPr>
          </w:p>
          <w:p w14:paraId="491939BB">
            <w:pPr>
              <w:adjustRightInd w:val="0"/>
              <w:spacing w:line="440" w:lineRule="exact"/>
              <w:jc w:val="center"/>
              <w:textAlignment w:val="baseline"/>
              <w:rPr>
                <w:rFonts w:hint="eastAsia" w:ascii="宋体" w:hAnsi="宋体" w:eastAsia="宋体" w:cs="宋体"/>
                <w:bCs/>
                <w:color w:val="000000" w:themeColor="text1"/>
                <w:sz w:val="21"/>
                <w:szCs w:val="21"/>
                <w:highlight w:val="none"/>
                <w14:textFill>
                  <w14:solidFill>
                    <w14:schemeClr w14:val="tx1"/>
                  </w14:solidFill>
                </w14:textFill>
              </w:rPr>
            </w:pPr>
          </w:p>
          <w:p w14:paraId="728E6F25">
            <w:pPr>
              <w:adjustRightInd w:val="0"/>
              <w:spacing w:line="440" w:lineRule="exact"/>
              <w:jc w:val="center"/>
              <w:textAlignment w:val="baseline"/>
              <w:rPr>
                <w:rFonts w:hint="eastAsia" w:ascii="宋体" w:hAnsi="宋体" w:eastAsia="宋体" w:cs="宋体"/>
                <w:bCs/>
                <w:color w:val="000000" w:themeColor="text1"/>
                <w:sz w:val="21"/>
                <w:szCs w:val="21"/>
                <w:highlight w:val="none"/>
                <w14:textFill>
                  <w14:solidFill>
                    <w14:schemeClr w14:val="tx1"/>
                  </w14:solidFill>
                </w14:textFill>
              </w:rPr>
            </w:pPr>
          </w:p>
          <w:p w14:paraId="4C05FD3F">
            <w:pPr>
              <w:adjustRightInd w:val="0"/>
              <w:spacing w:line="440" w:lineRule="exact"/>
              <w:jc w:val="center"/>
              <w:textAlignment w:val="baseline"/>
              <w:rPr>
                <w:rFonts w:hint="eastAsia" w:ascii="宋体" w:hAnsi="宋体" w:eastAsia="宋体" w:cs="宋体"/>
                <w:bCs/>
                <w:color w:val="000000" w:themeColor="text1"/>
                <w:sz w:val="21"/>
                <w:szCs w:val="21"/>
                <w:highlight w:val="none"/>
                <w14:textFill>
                  <w14:solidFill>
                    <w14:schemeClr w14:val="tx1"/>
                  </w14:solidFill>
                </w14:textFill>
              </w:rPr>
            </w:pPr>
          </w:p>
          <w:p w14:paraId="44A5F576">
            <w:pPr>
              <w:adjustRightInd w:val="0"/>
              <w:spacing w:line="440" w:lineRule="exact"/>
              <w:jc w:val="center"/>
              <w:textAlignment w:val="baseline"/>
              <w:rPr>
                <w:rFonts w:hint="eastAsia" w:ascii="宋体" w:hAnsi="宋体" w:eastAsia="宋体" w:cs="宋体"/>
                <w:bCs/>
                <w:color w:val="000000" w:themeColor="text1"/>
                <w:sz w:val="21"/>
                <w:szCs w:val="21"/>
                <w:highlight w:val="none"/>
                <w14:textFill>
                  <w14:solidFill>
                    <w14:schemeClr w14:val="tx1"/>
                  </w14:solidFill>
                </w14:textFill>
              </w:rPr>
            </w:pPr>
          </w:p>
          <w:p w14:paraId="51483772">
            <w:pPr>
              <w:adjustRightInd w:val="0"/>
              <w:spacing w:line="440" w:lineRule="exact"/>
              <w:jc w:val="center"/>
              <w:textAlignment w:val="baseline"/>
              <w:rPr>
                <w:rFonts w:hint="eastAsia" w:ascii="宋体" w:hAnsi="宋体" w:eastAsia="宋体" w:cs="宋体"/>
                <w:bCs/>
                <w:color w:val="000000" w:themeColor="text1"/>
                <w:sz w:val="21"/>
                <w:szCs w:val="21"/>
                <w:highlight w:val="none"/>
                <w14:textFill>
                  <w14:solidFill>
                    <w14:schemeClr w14:val="tx1"/>
                  </w14:solidFill>
                </w14:textFill>
              </w:rPr>
            </w:pPr>
          </w:p>
          <w:p w14:paraId="6A671469">
            <w:pPr>
              <w:adjustRightInd w:val="0"/>
              <w:spacing w:line="440" w:lineRule="exact"/>
              <w:jc w:val="center"/>
              <w:textAlignment w:val="baseline"/>
              <w:rPr>
                <w:rFonts w:hint="eastAsia" w:ascii="宋体" w:hAnsi="宋体" w:eastAsia="宋体" w:cs="宋体"/>
                <w:bCs/>
                <w:color w:val="000000" w:themeColor="text1"/>
                <w:sz w:val="21"/>
                <w:szCs w:val="21"/>
                <w:highlight w:val="none"/>
                <w14:textFill>
                  <w14:solidFill>
                    <w14:schemeClr w14:val="tx1"/>
                  </w14:solidFill>
                </w14:textFill>
              </w:rPr>
            </w:pPr>
          </w:p>
          <w:p w14:paraId="4BA50C58">
            <w:pPr>
              <w:adjustRightInd w:val="0"/>
              <w:spacing w:line="440" w:lineRule="exact"/>
              <w:jc w:val="center"/>
              <w:textAlignment w:val="baseline"/>
              <w:rPr>
                <w:rFonts w:hint="eastAsia" w:ascii="宋体" w:hAnsi="宋体" w:eastAsia="宋体" w:cs="宋体"/>
                <w:bCs/>
                <w:color w:val="000000" w:themeColor="text1"/>
                <w:sz w:val="21"/>
                <w:szCs w:val="21"/>
                <w:highlight w:val="none"/>
                <w14:textFill>
                  <w14:solidFill>
                    <w14:schemeClr w14:val="tx1"/>
                  </w14:solidFill>
                </w14:textFill>
              </w:rPr>
            </w:pPr>
          </w:p>
          <w:p w14:paraId="7BC07D26">
            <w:pPr>
              <w:adjustRightInd w:val="0"/>
              <w:spacing w:line="440" w:lineRule="exact"/>
              <w:jc w:val="center"/>
              <w:textAlignment w:val="baseline"/>
              <w:rPr>
                <w:rFonts w:hint="eastAsia" w:ascii="宋体" w:hAnsi="宋体" w:eastAsia="宋体" w:cs="宋体"/>
                <w:bCs/>
                <w:color w:val="000000" w:themeColor="text1"/>
                <w:sz w:val="21"/>
                <w:szCs w:val="21"/>
                <w:highlight w:val="none"/>
                <w14:textFill>
                  <w14:solidFill>
                    <w14:schemeClr w14:val="tx1"/>
                  </w14:solidFill>
                </w14:textFill>
              </w:rPr>
            </w:pPr>
          </w:p>
          <w:p w14:paraId="42429775">
            <w:pPr>
              <w:adjustRightInd w:val="0"/>
              <w:spacing w:line="440" w:lineRule="exact"/>
              <w:jc w:val="center"/>
              <w:textAlignment w:val="baseline"/>
              <w:rPr>
                <w:rFonts w:hint="eastAsia" w:ascii="宋体" w:hAnsi="宋体" w:eastAsia="宋体" w:cs="宋体"/>
                <w:bCs/>
                <w:color w:val="000000" w:themeColor="text1"/>
                <w:sz w:val="21"/>
                <w:szCs w:val="21"/>
                <w:highlight w:val="none"/>
                <w14:textFill>
                  <w14:solidFill>
                    <w14:schemeClr w14:val="tx1"/>
                  </w14:solidFill>
                </w14:textFill>
              </w:rPr>
            </w:pPr>
          </w:p>
          <w:p w14:paraId="625468A1">
            <w:pPr>
              <w:adjustRightInd w:val="0"/>
              <w:spacing w:line="440" w:lineRule="exact"/>
              <w:jc w:val="center"/>
              <w:textAlignment w:val="baseline"/>
              <w:rPr>
                <w:rFonts w:hint="eastAsia" w:ascii="宋体" w:hAnsi="宋体" w:eastAsia="宋体" w:cs="宋体"/>
                <w:bCs/>
                <w:color w:val="000000" w:themeColor="text1"/>
                <w:sz w:val="21"/>
                <w:szCs w:val="21"/>
                <w:highlight w:val="none"/>
                <w14:textFill>
                  <w14:solidFill>
                    <w14:schemeClr w14:val="tx1"/>
                  </w14:solidFill>
                </w14:textFill>
              </w:rPr>
            </w:pPr>
          </w:p>
          <w:p w14:paraId="04A72C09">
            <w:pPr>
              <w:adjustRightInd w:val="0"/>
              <w:spacing w:line="440" w:lineRule="exact"/>
              <w:jc w:val="center"/>
              <w:textAlignment w:val="baseline"/>
              <w:rPr>
                <w:rFonts w:hint="eastAsia" w:ascii="宋体" w:hAnsi="宋体" w:eastAsia="宋体" w:cs="宋体"/>
                <w:bCs/>
                <w:color w:val="000000" w:themeColor="text1"/>
                <w:sz w:val="21"/>
                <w:szCs w:val="21"/>
                <w:highlight w:val="none"/>
                <w14:textFill>
                  <w14:solidFill>
                    <w14:schemeClr w14:val="tx1"/>
                  </w14:solidFill>
                </w14:textFill>
              </w:rPr>
            </w:pPr>
          </w:p>
          <w:p w14:paraId="4F972CEB">
            <w:pPr>
              <w:adjustRightInd w:val="0"/>
              <w:spacing w:line="440" w:lineRule="exact"/>
              <w:jc w:val="center"/>
              <w:textAlignment w:val="baseline"/>
              <w:rPr>
                <w:rFonts w:hint="eastAsia" w:ascii="宋体" w:hAnsi="宋体" w:eastAsia="宋体" w:cs="宋体"/>
                <w:bCs/>
                <w:color w:val="000000" w:themeColor="text1"/>
                <w:sz w:val="21"/>
                <w:szCs w:val="21"/>
                <w:highlight w:val="none"/>
                <w14:textFill>
                  <w14:solidFill>
                    <w14:schemeClr w14:val="tx1"/>
                  </w14:solidFill>
                </w14:textFill>
              </w:rPr>
            </w:pPr>
          </w:p>
          <w:p w14:paraId="474D503A">
            <w:pPr>
              <w:adjustRightInd w:val="0"/>
              <w:spacing w:line="440" w:lineRule="exact"/>
              <w:jc w:val="center"/>
              <w:textAlignment w:val="baseline"/>
              <w:rPr>
                <w:rFonts w:hint="eastAsia" w:ascii="宋体" w:hAnsi="宋体" w:eastAsia="宋体" w:cs="宋体"/>
                <w:bCs/>
                <w:color w:val="000000" w:themeColor="text1"/>
                <w:sz w:val="21"/>
                <w:szCs w:val="21"/>
                <w:highlight w:val="none"/>
                <w14:textFill>
                  <w14:solidFill>
                    <w14:schemeClr w14:val="tx1"/>
                  </w14:solidFill>
                </w14:textFill>
              </w:rPr>
            </w:pPr>
          </w:p>
          <w:p w14:paraId="67BEAC5E">
            <w:pPr>
              <w:adjustRightInd w:val="0"/>
              <w:spacing w:line="440" w:lineRule="exact"/>
              <w:jc w:val="center"/>
              <w:textAlignment w:val="baseline"/>
              <w:rPr>
                <w:rFonts w:hint="eastAsia" w:ascii="宋体" w:hAnsi="宋体" w:eastAsia="宋体" w:cs="宋体"/>
                <w:bCs/>
                <w:color w:val="000000" w:themeColor="text1"/>
                <w:sz w:val="21"/>
                <w:szCs w:val="21"/>
                <w:highlight w:val="none"/>
                <w14:textFill>
                  <w14:solidFill>
                    <w14:schemeClr w14:val="tx1"/>
                  </w14:solidFill>
                </w14:textFill>
              </w:rPr>
            </w:pPr>
          </w:p>
          <w:p w14:paraId="3C58B5C5">
            <w:pPr>
              <w:adjustRightInd w:val="0"/>
              <w:spacing w:line="440" w:lineRule="exact"/>
              <w:jc w:val="center"/>
              <w:textAlignment w:val="baseline"/>
              <w:rPr>
                <w:rFonts w:hint="eastAsia" w:ascii="宋体" w:hAnsi="宋体" w:eastAsia="宋体" w:cs="宋体"/>
                <w:bCs/>
                <w:color w:val="000000" w:themeColor="text1"/>
                <w:sz w:val="21"/>
                <w:szCs w:val="21"/>
                <w:highlight w:val="none"/>
                <w14:textFill>
                  <w14:solidFill>
                    <w14:schemeClr w14:val="tx1"/>
                  </w14:solidFill>
                </w14:textFill>
              </w:rPr>
            </w:pPr>
          </w:p>
          <w:p w14:paraId="145DA155">
            <w:pPr>
              <w:adjustRightInd w:val="0"/>
              <w:spacing w:line="440" w:lineRule="exact"/>
              <w:jc w:val="center"/>
              <w:textAlignment w:val="baseline"/>
              <w:rPr>
                <w:rFonts w:hint="eastAsia" w:ascii="宋体" w:hAnsi="宋体" w:eastAsia="宋体" w:cs="宋体"/>
                <w:bCs/>
                <w:color w:val="000000" w:themeColor="text1"/>
                <w:sz w:val="21"/>
                <w:szCs w:val="21"/>
                <w:highlight w:val="none"/>
                <w14:textFill>
                  <w14:solidFill>
                    <w14:schemeClr w14:val="tx1"/>
                  </w14:solidFill>
                </w14:textFill>
              </w:rPr>
            </w:pPr>
          </w:p>
          <w:p w14:paraId="688C3390">
            <w:pPr>
              <w:adjustRightInd w:val="0"/>
              <w:spacing w:line="440" w:lineRule="exact"/>
              <w:jc w:val="center"/>
              <w:textAlignment w:val="baseline"/>
              <w:rPr>
                <w:rFonts w:hint="eastAsia" w:ascii="宋体" w:hAnsi="宋体" w:eastAsia="宋体" w:cs="宋体"/>
                <w:bCs/>
                <w:color w:val="000000" w:themeColor="text1"/>
                <w:sz w:val="21"/>
                <w:szCs w:val="21"/>
                <w:highlight w:val="none"/>
                <w14:textFill>
                  <w14:solidFill>
                    <w14:schemeClr w14:val="tx1"/>
                  </w14:solidFill>
                </w14:textFill>
              </w:rPr>
            </w:pPr>
          </w:p>
          <w:p w14:paraId="52ABA14E">
            <w:pPr>
              <w:adjustRightInd w:val="0"/>
              <w:spacing w:line="440" w:lineRule="exact"/>
              <w:jc w:val="center"/>
              <w:textAlignment w:val="baseline"/>
              <w:rPr>
                <w:rFonts w:hint="eastAsia" w:ascii="宋体" w:hAnsi="宋体" w:eastAsia="宋体" w:cs="宋体"/>
                <w:bCs/>
                <w:color w:val="000000" w:themeColor="text1"/>
                <w:sz w:val="21"/>
                <w:szCs w:val="21"/>
                <w:highlight w:val="none"/>
                <w14:textFill>
                  <w14:solidFill>
                    <w14:schemeClr w14:val="tx1"/>
                  </w14:solidFill>
                </w14:textFill>
              </w:rPr>
            </w:pPr>
          </w:p>
          <w:p w14:paraId="16F48052">
            <w:pPr>
              <w:adjustRightInd w:val="0"/>
              <w:spacing w:line="440" w:lineRule="exact"/>
              <w:jc w:val="center"/>
              <w:textAlignment w:val="baseline"/>
              <w:rPr>
                <w:rFonts w:hint="eastAsia" w:ascii="宋体" w:hAnsi="宋体" w:eastAsia="宋体" w:cs="宋体"/>
                <w:bCs/>
                <w:color w:val="000000" w:themeColor="text1"/>
                <w:sz w:val="21"/>
                <w:szCs w:val="21"/>
                <w:highlight w:val="none"/>
                <w14:textFill>
                  <w14:solidFill>
                    <w14:schemeClr w14:val="tx1"/>
                  </w14:solidFill>
                </w14:textFill>
              </w:rPr>
            </w:pPr>
          </w:p>
          <w:p w14:paraId="115E6F81">
            <w:pPr>
              <w:adjustRightInd w:val="0"/>
              <w:spacing w:line="440" w:lineRule="exact"/>
              <w:jc w:val="center"/>
              <w:textAlignment w:val="baseline"/>
              <w:rPr>
                <w:rFonts w:hint="eastAsia" w:ascii="宋体" w:hAnsi="宋体" w:eastAsia="宋体" w:cs="宋体"/>
                <w:bCs/>
                <w:color w:val="000000" w:themeColor="text1"/>
                <w:sz w:val="21"/>
                <w:szCs w:val="21"/>
                <w:highlight w:val="none"/>
                <w14:textFill>
                  <w14:solidFill>
                    <w14:schemeClr w14:val="tx1"/>
                  </w14:solidFill>
                </w14:textFill>
              </w:rPr>
            </w:pPr>
          </w:p>
          <w:p w14:paraId="41C43000">
            <w:pPr>
              <w:adjustRightInd w:val="0"/>
              <w:spacing w:line="440" w:lineRule="exact"/>
              <w:jc w:val="center"/>
              <w:textAlignment w:val="baseline"/>
              <w:rPr>
                <w:rFonts w:hint="eastAsia" w:ascii="宋体" w:hAnsi="宋体" w:eastAsia="宋体" w:cs="宋体"/>
                <w:bCs/>
                <w:color w:val="000000" w:themeColor="text1"/>
                <w:sz w:val="21"/>
                <w:szCs w:val="21"/>
                <w:highlight w:val="none"/>
                <w14:textFill>
                  <w14:solidFill>
                    <w14:schemeClr w14:val="tx1"/>
                  </w14:solidFill>
                </w14:textFill>
              </w:rPr>
            </w:pPr>
          </w:p>
          <w:p w14:paraId="2E00E99B">
            <w:pPr>
              <w:adjustRightInd w:val="0"/>
              <w:spacing w:line="440" w:lineRule="exact"/>
              <w:jc w:val="center"/>
              <w:textAlignment w:val="baseline"/>
              <w:rPr>
                <w:rFonts w:hint="eastAsia" w:ascii="宋体" w:hAnsi="宋体" w:eastAsia="宋体" w:cs="宋体"/>
                <w:bCs/>
                <w:color w:val="000000" w:themeColor="text1"/>
                <w:sz w:val="21"/>
                <w:szCs w:val="21"/>
                <w:highlight w:val="none"/>
                <w14:textFill>
                  <w14:solidFill>
                    <w14:schemeClr w14:val="tx1"/>
                  </w14:solidFill>
                </w14:textFill>
              </w:rPr>
            </w:pPr>
          </w:p>
          <w:p w14:paraId="32635B4D">
            <w:pPr>
              <w:adjustRightInd w:val="0"/>
              <w:spacing w:line="440" w:lineRule="exact"/>
              <w:jc w:val="center"/>
              <w:textAlignment w:val="baseline"/>
              <w:rPr>
                <w:rFonts w:hint="eastAsia" w:ascii="宋体" w:hAnsi="宋体" w:eastAsia="宋体" w:cs="宋体"/>
                <w:bCs/>
                <w:color w:val="000000" w:themeColor="text1"/>
                <w:sz w:val="21"/>
                <w:szCs w:val="21"/>
                <w:highlight w:val="none"/>
                <w14:textFill>
                  <w14:solidFill>
                    <w14:schemeClr w14:val="tx1"/>
                  </w14:solidFill>
                </w14:textFill>
              </w:rPr>
            </w:pPr>
          </w:p>
          <w:p w14:paraId="7D1AB0B5">
            <w:pPr>
              <w:adjustRightInd w:val="0"/>
              <w:spacing w:line="440" w:lineRule="exact"/>
              <w:jc w:val="center"/>
              <w:textAlignment w:val="baseline"/>
              <w:rPr>
                <w:rFonts w:hint="eastAsia" w:ascii="宋体" w:hAnsi="宋体" w:eastAsia="宋体" w:cs="宋体"/>
                <w:bCs/>
                <w:color w:val="000000" w:themeColor="text1"/>
                <w:sz w:val="21"/>
                <w:szCs w:val="21"/>
                <w:highlight w:val="none"/>
                <w14:textFill>
                  <w14:solidFill>
                    <w14:schemeClr w14:val="tx1"/>
                  </w14:solidFill>
                </w14:textFill>
              </w:rPr>
            </w:pPr>
          </w:p>
          <w:p w14:paraId="2F0CC056">
            <w:pPr>
              <w:adjustRightInd w:val="0"/>
              <w:spacing w:line="440" w:lineRule="exact"/>
              <w:jc w:val="center"/>
              <w:textAlignment w:val="baseline"/>
              <w:rPr>
                <w:rFonts w:hint="eastAsia" w:ascii="宋体" w:hAnsi="宋体" w:eastAsia="宋体" w:cs="宋体"/>
                <w:bCs/>
                <w:color w:val="000000" w:themeColor="text1"/>
                <w:sz w:val="21"/>
                <w:szCs w:val="21"/>
                <w:highlight w:val="none"/>
                <w14:textFill>
                  <w14:solidFill>
                    <w14:schemeClr w14:val="tx1"/>
                  </w14:solidFill>
                </w14:textFill>
              </w:rPr>
            </w:pPr>
          </w:p>
          <w:p w14:paraId="61B35E5D">
            <w:pPr>
              <w:adjustRightInd w:val="0"/>
              <w:spacing w:line="440" w:lineRule="exact"/>
              <w:jc w:val="center"/>
              <w:textAlignment w:val="baseline"/>
              <w:rPr>
                <w:rFonts w:hint="eastAsia" w:ascii="宋体" w:hAnsi="宋体" w:eastAsia="宋体" w:cs="宋体"/>
                <w:bCs/>
                <w:color w:val="000000" w:themeColor="text1"/>
                <w:sz w:val="21"/>
                <w:szCs w:val="21"/>
                <w:highlight w:val="none"/>
                <w14:textFill>
                  <w14:solidFill>
                    <w14:schemeClr w14:val="tx1"/>
                  </w14:solidFill>
                </w14:textFill>
              </w:rPr>
            </w:pPr>
          </w:p>
          <w:p w14:paraId="56FC7143">
            <w:pPr>
              <w:adjustRightInd w:val="0"/>
              <w:spacing w:line="440" w:lineRule="exact"/>
              <w:jc w:val="center"/>
              <w:textAlignment w:val="baseline"/>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技术分</w:t>
            </w:r>
          </w:p>
          <w:p w14:paraId="39D7D1D7">
            <w:pPr>
              <w:adjustRightInd w:val="0"/>
              <w:spacing w:line="440" w:lineRule="exact"/>
              <w:jc w:val="center"/>
              <w:textAlignment w:val="baseline"/>
              <w:rPr>
                <w:rFonts w:hint="eastAsia" w:ascii="宋体" w:hAnsi="宋体" w:eastAsia="宋体" w:cs="宋体"/>
                <w:bCs/>
                <w:color w:val="000000" w:themeColor="text1"/>
                <w:spacing w:val="-18"/>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（满分46分）</w:t>
            </w:r>
          </w:p>
        </w:tc>
        <w:tc>
          <w:tcPr>
            <w:tcW w:w="1324" w:type="dxa"/>
            <w:tcBorders>
              <w:top w:val="single" w:color="auto" w:sz="4" w:space="0"/>
              <w:left w:val="single" w:color="auto" w:sz="4" w:space="0"/>
              <w:bottom w:val="single" w:color="auto" w:sz="4" w:space="0"/>
              <w:right w:val="single" w:color="auto" w:sz="4" w:space="0"/>
            </w:tcBorders>
            <w:vAlign w:val="center"/>
          </w:tcPr>
          <w:p w14:paraId="434EABBB">
            <w:pPr>
              <w:adjustRightInd w:val="0"/>
              <w:spacing w:line="440" w:lineRule="exact"/>
              <w:jc w:val="center"/>
              <w:textAlignment w:val="baseline"/>
              <w:rPr>
                <w:rFonts w:hint="eastAsia" w:ascii="宋体" w:hAnsi="宋体" w:eastAsia="宋体" w:cs="宋体"/>
                <w:bCs/>
                <w:color w:val="000000" w:themeColor="text1"/>
                <w:sz w:val="21"/>
                <w:szCs w:val="21"/>
                <w:highlight w:val="none"/>
                <w:u w:val="singl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设备技术性能分（满分15分）</w:t>
            </w:r>
          </w:p>
        </w:tc>
        <w:tc>
          <w:tcPr>
            <w:tcW w:w="6477" w:type="dxa"/>
            <w:tcBorders>
              <w:top w:val="single" w:color="auto" w:sz="4" w:space="0"/>
              <w:left w:val="single" w:color="auto" w:sz="4" w:space="0"/>
              <w:bottom w:val="single" w:color="auto" w:sz="4" w:space="0"/>
              <w:right w:val="single" w:color="auto" w:sz="4" w:space="0"/>
            </w:tcBorders>
          </w:tcPr>
          <w:p w14:paraId="59B4FF6D">
            <w:pPr>
              <w:pStyle w:val="6"/>
              <w:tabs>
                <w:tab w:val="left" w:pos="459"/>
              </w:tabs>
              <w:spacing w:line="440" w:lineRule="exact"/>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一、中央空调主机更优性能（满分10分）：</w:t>
            </w:r>
          </w:p>
          <w:p w14:paraId="309041E1">
            <w:pPr>
              <w:pStyle w:val="6"/>
              <w:tabs>
                <w:tab w:val="left" w:pos="459"/>
              </w:tabs>
              <w:spacing w:line="440" w:lineRule="exact"/>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1.定频机组以COP值6.3为0分，COP值每增加2‰，得分增加0.25分，该项满分5分；</w:t>
            </w:r>
          </w:p>
          <w:p w14:paraId="5F2EA20F">
            <w:pPr>
              <w:pStyle w:val="6"/>
              <w:tabs>
                <w:tab w:val="left" w:pos="459"/>
              </w:tabs>
              <w:spacing w:line="440" w:lineRule="exact"/>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2.变频机组以IPLV（国标）值8.1为0分，IPLV值每增加1％，得分增加0.25分，该项满分5分；</w:t>
            </w:r>
          </w:p>
          <w:p w14:paraId="3358EF37">
            <w:pPr>
              <w:pStyle w:val="6"/>
              <w:tabs>
                <w:tab w:val="left" w:pos="459"/>
              </w:tabs>
              <w:spacing w:line="440" w:lineRule="exact"/>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具体数值、对应分数可参考附件</w:t>
            </w:r>
            <w:r>
              <w:rPr>
                <w:rFonts w:hint="eastAsia" w:hAnsi="宋体" w:cs="宋体"/>
                <w:bCs/>
                <w:color w:val="000000" w:themeColor="text1"/>
                <w:sz w:val="21"/>
                <w:szCs w:val="21"/>
                <w:highlight w:val="none"/>
                <w:lang w:val="en-US" w:eastAsia="zh-CN"/>
                <w14:textFill>
                  <w14:solidFill>
                    <w14:schemeClr w14:val="tx1"/>
                  </w14:solidFill>
                </w14:textFill>
              </w:rPr>
              <w:t>2</w:t>
            </w:r>
            <w:r>
              <w:rPr>
                <w:rFonts w:hint="eastAsia" w:hAnsi="宋体" w:cs="宋体"/>
                <w:bCs/>
                <w:color w:val="000000" w:themeColor="text1"/>
                <w:sz w:val="21"/>
                <w:szCs w:val="21"/>
                <w:highlight w:val="none"/>
                <w:lang w:eastAsia="zh-CN"/>
                <w14:textFill>
                  <w14:solidFill>
                    <w14:schemeClr w14:val="tx1"/>
                  </w14:solidFill>
                </w14:textFill>
              </w:rPr>
              <w:t>“</w:t>
            </w:r>
            <w:r>
              <w:rPr>
                <w:rFonts w:hint="eastAsia" w:ascii="宋体" w:hAnsi="宋体" w:eastAsia="宋体" w:cs="宋体"/>
                <w:bCs/>
                <w:color w:val="000000" w:themeColor="text1"/>
                <w:sz w:val="21"/>
                <w:szCs w:val="21"/>
                <w:highlight w:val="none"/>
                <w14:textFill>
                  <w14:solidFill>
                    <w14:schemeClr w14:val="tx1"/>
                  </w14:solidFill>
                </w14:textFill>
              </w:rPr>
              <w:t>主机能效评分对应表</w:t>
            </w:r>
            <w:r>
              <w:rPr>
                <w:rFonts w:hint="eastAsia" w:hAnsi="宋体" w:cs="宋体"/>
                <w:bCs/>
                <w:color w:val="000000" w:themeColor="text1"/>
                <w:sz w:val="21"/>
                <w:szCs w:val="21"/>
                <w:highlight w:val="none"/>
                <w:lang w:eastAsia="zh-CN"/>
                <w14:textFill>
                  <w14:solidFill>
                    <w14:schemeClr w14:val="tx1"/>
                  </w14:solidFill>
                </w14:textFill>
              </w:rPr>
              <w:t>”。</w:t>
            </w:r>
            <w:bookmarkStart w:id="0" w:name="_GoBack"/>
            <w:bookmarkEnd w:id="0"/>
          </w:p>
          <w:p w14:paraId="7F65856E">
            <w:pPr>
              <w:rPr>
                <w:rFonts w:hint="eastAsia" w:ascii="宋体" w:hAnsi="宋体" w:eastAsia="宋体" w:cs="宋体"/>
                <w:color w:val="000000" w:themeColor="text1"/>
                <w:sz w:val="21"/>
                <w:szCs w:val="21"/>
                <w:highlight w:val="none"/>
                <w14:textFill>
                  <w14:solidFill>
                    <w14:schemeClr w14:val="tx1"/>
                  </w14:solidFill>
                </w14:textFill>
              </w:rPr>
            </w:pPr>
          </w:p>
          <w:p w14:paraId="763A0F33">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以下评分条款以对照《</w:t>
            </w:r>
            <w:r>
              <w:rPr>
                <w:rFonts w:hint="eastAsia" w:ascii="宋体" w:hAnsi="宋体" w:eastAsia="宋体" w:cs="宋体"/>
                <w:b/>
                <w:bCs/>
                <w:color w:val="000000" w:themeColor="text1"/>
                <w:kern w:val="0"/>
                <w:sz w:val="21"/>
                <w:szCs w:val="21"/>
                <w:highlight w:val="none"/>
                <w14:textFill>
                  <w14:solidFill>
                    <w14:schemeClr w14:val="tx1"/>
                  </w14:solidFill>
                </w14:textFill>
              </w:rPr>
              <w:t>技术参数及性能参考</w:t>
            </w:r>
            <w:r>
              <w:rPr>
                <w:rFonts w:hint="eastAsia" w:ascii="宋体" w:hAnsi="宋体" w:eastAsia="宋体" w:cs="宋体"/>
                <w:color w:val="000000" w:themeColor="text1"/>
                <w:sz w:val="21"/>
                <w:szCs w:val="21"/>
                <w:highlight w:val="none"/>
                <w14:textFill>
                  <w14:solidFill>
                    <w14:schemeClr w14:val="tx1"/>
                  </w14:solidFill>
                </w14:textFill>
              </w:rPr>
              <w:t>》表为依据，同一小点有多个要求的，同时符合才视同符合。</w:t>
            </w:r>
          </w:p>
          <w:p w14:paraId="78D3CFDA">
            <w:pPr>
              <w:pStyle w:val="6"/>
              <w:numPr>
                <w:ilvl w:val="0"/>
                <w:numId w:val="2"/>
              </w:numPr>
              <w:tabs>
                <w:tab w:val="left" w:pos="459"/>
              </w:tabs>
              <w:spacing w:line="440" w:lineRule="exact"/>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主机其他参数符合（最高3分）：</w:t>
            </w:r>
          </w:p>
          <w:p w14:paraId="12A63326">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变频主机：</w:t>
            </w:r>
          </w:p>
          <w:p w14:paraId="041480FB">
            <w:pPr>
              <w:pStyle w:val="6"/>
              <w:tabs>
                <w:tab w:val="left" w:pos="459"/>
              </w:tabs>
              <w:spacing w:line="440" w:lineRule="exact"/>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1.变频主机制冷量：Q=1450KW；投标人所投标冷水机组在设计工况下的单机制冷量与招标的制冷量间负偏差不超过3%（含），正偏差不超过5%（含）的，得0.5分，冷量在此范围外的，得0分，其中最大负偏差不得超过5%（含）。（提供投标产品的彩页或第三方检测报告复印件或产品生产厂家出具的技术参数说明等符合招标要求的证明材料作为佐证，以上材料均需加盖单位公章）。</w:t>
            </w:r>
          </w:p>
          <w:p w14:paraId="50D05806">
            <w:pPr>
              <w:pStyle w:val="6"/>
              <w:tabs>
                <w:tab w:val="left" w:pos="459"/>
              </w:tabs>
              <w:spacing w:line="440" w:lineRule="exact"/>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2.换热器冷媒充注量≤400Kg的，得0.5分，换热器冷媒充注量大于400Kg小于等于450Kg的得0.3分,在此范围外的，得0分。</w:t>
            </w:r>
          </w:p>
          <w:p w14:paraId="1DB58D3B">
            <w:pPr>
              <w:pStyle w:val="6"/>
              <w:tabs>
                <w:tab w:val="left" w:pos="459"/>
              </w:tabs>
              <w:spacing w:line="440" w:lineRule="exact"/>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3.国标工况下蒸发器满负荷水流量下的水压力降≤60Kpa；冷凝器满负荷水流量下的水压力降≤75Kpa，得0.5分；</w:t>
            </w:r>
          </w:p>
          <w:p w14:paraId="4EE37C4C">
            <w:pPr>
              <w:pStyle w:val="6"/>
              <w:tabs>
                <w:tab w:val="left" w:pos="459"/>
              </w:tabs>
              <w:spacing w:line="440" w:lineRule="exact"/>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国标工况下蒸发器满负荷水流量下的水压力降大于60Kpa小于等于75Kpa的；冷凝器满负荷水流量下的大于75Kpa小于等于90Kpa的，得0.3分，在此范围外的，得0分。（提供投标产品的彩页或第三方检测报告复印件或产品生产厂家出具的技术参数说明等招标要求的证明材料作为佐证，以上材料均需加盖单位公章）。</w:t>
            </w:r>
          </w:p>
          <w:p w14:paraId="4D6E8936">
            <w:pPr>
              <w:pStyle w:val="6"/>
              <w:tabs>
                <w:tab w:val="left" w:pos="459"/>
              </w:tabs>
              <w:spacing w:line="440" w:lineRule="exact"/>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4.压缩机与机组要求为同一品牌且为自主生产，而非贴牌或代工产品；压缩机容量调节范围：25%-100%，须提供证明材料。(须提供压力容器的中华人民共和国特种设备生产许可证)。 此项满足的，得0.5分，不满足的得0分。</w:t>
            </w:r>
          </w:p>
          <w:p w14:paraId="38708E85">
            <w:pPr>
              <w:pStyle w:val="6"/>
              <w:tabs>
                <w:tab w:val="left" w:pos="459"/>
              </w:tabs>
              <w:spacing w:line="440" w:lineRule="exact"/>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5.中文彩色触摸控制屏为用户提供直观的图形化界面。可提供Modbus等控制接口，采用国标通用的开放式通信协议，可与集中控制系统及与第三方楼宇自控系统实现通讯。 此项满足的，得0.5分，不满足的得0分</w:t>
            </w:r>
          </w:p>
          <w:p w14:paraId="5CF9B4A9">
            <w:pPr>
              <w:pStyle w:val="6"/>
              <w:tabs>
                <w:tab w:val="left" w:pos="459"/>
              </w:tabs>
              <w:spacing w:line="440" w:lineRule="exact"/>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定频主机：</w:t>
            </w:r>
          </w:p>
          <w:p w14:paraId="176D6B12">
            <w:pPr>
              <w:pStyle w:val="6"/>
              <w:tabs>
                <w:tab w:val="left" w:pos="459"/>
              </w:tabs>
              <w:spacing w:line="440" w:lineRule="exact"/>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1.定频主机制冷量：Q=1430KW；投标人所投标冷水机组在设计工况下的单机制冷量与招标的制冷量间负偏差不超过3%（含），正偏差不超过5%（含）的，得0.5分，冷量在此范围外的，得0分，其中最大负偏差不得超过5%（含）。（提供投标产品的彩页或第三方检测报告复印件或产品生产厂家出具的技术参数说明等招标要求的证明材料作为佐证，以上材料均需加盖单位公章）</w:t>
            </w:r>
          </w:p>
          <w:p w14:paraId="11827828">
            <w:pPr>
              <w:pStyle w:val="6"/>
              <w:tabs>
                <w:tab w:val="left" w:pos="459"/>
              </w:tabs>
              <w:spacing w:line="440" w:lineRule="exact"/>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2.换热器冷媒充注量≤380Kg的，得0.5分，换热器冷媒充注量大于380Kg小于等于420Kg的得0.3分,在此范围外的，得0分。</w:t>
            </w:r>
          </w:p>
          <w:p w14:paraId="3F8F1BA6">
            <w:pPr>
              <w:pStyle w:val="6"/>
              <w:tabs>
                <w:tab w:val="left" w:pos="459"/>
              </w:tabs>
              <w:spacing w:line="440" w:lineRule="exact"/>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3.国标工况下蒸发器满负荷水流量下的水压力降≤60Kpa；冷凝器满负荷水流量下的水压力降≤50Kpa的，得0.5分，</w:t>
            </w:r>
          </w:p>
          <w:p w14:paraId="73858D7C">
            <w:pPr>
              <w:pStyle w:val="6"/>
              <w:tabs>
                <w:tab w:val="left" w:pos="459"/>
              </w:tabs>
              <w:spacing w:line="440" w:lineRule="exact"/>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国标工况下蒸发器满负荷水流量下的水压力降大于60Kpa小于等于75Kpa的；冷凝器满负荷水流量下的大于50Kpa小于等于65Kpa的得0.3分，在此范围外的，得0分。（提供投标产品的彩页或第三方检测报告复印件或产品生产厂家出具的技术参数说明等招标要求的证明材料作为佐证，以上材料均需加盖单位公章）</w:t>
            </w:r>
          </w:p>
          <w:p w14:paraId="3FEE293A">
            <w:pPr>
              <w:pStyle w:val="6"/>
              <w:tabs>
                <w:tab w:val="left" w:pos="459"/>
              </w:tabs>
              <w:spacing w:line="440" w:lineRule="exact"/>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4.压缩机与机组要求为同一品牌且为自主生产，而非贴牌或代工产品；(须提供压力容器的中华人民共和国特种设备生产许可证)。 此项满足的，得0.5分，不满足的得0分。</w:t>
            </w:r>
          </w:p>
          <w:p w14:paraId="7D7E93B9">
            <w:pPr>
              <w:pStyle w:val="6"/>
              <w:tabs>
                <w:tab w:val="left" w:pos="459"/>
              </w:tabs>
              <w:spacing w:line="440" w:lineRule="exact"/>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5.中文彩色触摸控制屏为用户提供直观的图形化界面。可提供Modbus等控制接口，采用国标通用的开放式通信协议，可与集中控制系统及与第三方楼宇自控系统实现通讯。 此项满足的，得0.5分，不满足的得0分。</w:t>
            </w:r>
          </w:p>
          <w:p w14:paraId="4FC1B01A">
            <w:pPr>
              <w:pStyle w:val="6"/>
              <w:tabs>
                <w:tab w:val="left" w:pos="459"/>
              </w:tabs>
              <w:spacing w:line="440" w:lineRule="exact"/>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lang w:eastAsia="zh-CN"/>
                <w14:textFill>
                  <w14:solidFill>
                    <w14:schemeClr w14:val="tx1"/>
                  </w14:solidFill>
                </w14:textFill>
              </w:rPr>
              <w:t>三</w:t>
            </w:r>
            <w:r>
              <w:rPr>
                <w:rFonts w:hint="eastAsia" w:ascii="宋体" w:hAnsi="宋体" w:eastAsia="宋体" w:cs="宋体"/>
                <w:b/>
                <w:color w:val="000000" w:themeColor="text1"/>
                <w:sz w:val="21"/>
                <w:szCs w:val="21"/>
                <w:highlight w:val="none"/>
                <w14:textFill>
                  <w14:solidFill>
                    <w14:schemeClr w14:val="tx1"/>
                  </w14:solidFill>
                </w14:textFill>
              </w:rPr>
              <w:t>.其他设备参数更优性能（满分2分）：</w:t>
            </w:r>
          </w:p>
          <w:p w14:paraId="0C7266DD">
            <w:pPr>
              <w:pStyle w:val="6"/>
              <w:tabs>
                <w:tab w:val="left" w:pos="459"/>
              </w:tabs>
              <w:spacing w:line="440" w:lineRule="exact"/>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冷却泵、冷冻泵、冷却塔、机房群控节能控制系统及所属设备等其他设备其他参数符合技术参数要求，每有一条符合要求得0.2分，最多得2分，同一条款有多个参数的，所有参数符合才视同得分。</w:t>
            </w:r>
          </w:p>
          <w:p w14:paraId="193629C9">
            <w:pPr>
              <w:pStyle w:val="6"/>
              <w:spacing w:line="440" w:lineRule="exact"/>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（提供投标产品的彩页或第三方检测报告复印件或产品生产厂家出具的技术参数说明等招标要求的证明材料作为佐证，以上材料均需加盖单位公章，否则评标时有权不接受其参数准确性。）</w:t>
            </w:r>
          </w:p>
        </w:tc>
      </w:tr>
      <w:tr w14:paraId="0CFAC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trPr>
        <w:tc>
          <w:tcPr>
            <w:tcW w:w="569" w:type="dxa"/>
            <w:vMerge w:val="continue"/>
            <w:tcBorders>
              <w:top w:val="nil"/>
              <w:left w:val="single" w:color="auto" w:sz="4" w:space="0"/>
              <w:bottom w:val="single" w:color="auto" w:sz="4" w:space="0"/>
              <w:right w:val="single" w:color="auto" w:sz="4" w:space="0"/>
            </w:tcBorders>
            <w:vAlign w:val="center"/>
          </w:tcPr>
          <w:p w14:paraId="2FA46C70">
            <w:pPr>
              <w:widowControl/>
              <w:rPr>
                <w:rFonts w:ascii="宋体" w:hAnsi="宋体"/>
                <w:bCs/>
                <w:color w:val="000000" w:themeColor="text1"/>
                <w:szCs w:val="21"/>
                <w:highlight w:val="none"/>
                <w14:textFill>
                  <w14:solidFill>
                    <w14:schemeClr w14:val="tx1"/>
                  </w14:solidFill>
                </w14:textFill>
              </w:rPr>
            </w:pPr>
          </w:p>
        </w:tc>
        <w:tc>
          <w:tcPr>
            <w:tcW w:w="1023" w:type="dxa"/>
            <w:vMerge w:val="continue"/>
            <w:tcBorders>
              <w:top w:val="nil"/>
              <w:left w:val="single" w:color="auto" w:sz="4" w:space="0"/>
              <w:bottom w:val="single" w:color="auto" w:sz="4" w:space="0"/>
              <w:right w:val="single" w:color="auto" w:sz="4" w:space="0"/>
            </w:tcBorders>
            <w:vAlign w:val="center"/>
          </w:tcPr>
          <w:p w14:paraId="7C865FC9">
            <w:pPr>
              <w:widowControl/>
              <w:rPr>
                <w:rFonts w:hint="eastAsia" w:ascii="宋体" w:hAnsi="宋体" w:eastAsia="宋体" w:cs="宋体"/>
                <w:bCs/>
                <w:color w:val="000000" w:themeColor="text1"/>
                <w:spacing w:val="-18"/>
                <w:sz w:val="21"/>
                <w:szCs w:val="21"/>
                <w:highlight w:val="none"/>
                <w14:textFill>
                  <w14:solidFill>
                    <w14:schemeClr w14:val="tx1"/>
                  </w14:solidFill>
                </w14:textFill>
              </w:rPr>
            </w:pPr>
          </w:p>
        </w:tc>
        <w:tc>
          <w:tcPr>
            <w:tcW w:w="1324" w:type="dxa"/>
            <w:vMerge w:val="restart"/>
            <w:tcBorders>
              <w:top w:val="nil"/>
              <w:left w:val="single" w:color="auto" w:sz="4" w:space="0"/>
              <w:bottom w:val="single" w:color="auto" w:sz="4" w:space="0"/>
              <w:right w:val="single" w:color="auto" w:sz="4" w:space="0"/>
            </w:tcBorders>
            <w:vAlign w:val="center"/>
          </w:tcPr>
          <w:p w14:paraId="65EA96CF">
            <w:pPr>
              <w:spacing w:line="440" w:lineRule="exact"/>
              <w:jc w:val="center"/>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kern w:val="0"/>
                <w:sz w:val="21"/>
                <w:szCs w:val="21"/>
                <w:highlight w:val="none"/>
                <w14:textFill>
                  <w14:solidFill>
                    <w14:schemeClr w14:val="tx1"/>
                  </w14:solidFill>
                </w14:textFill>
              </w:rPr>
              <w:t>施工分（15分）</w:t>
            </w:r>
          </w:p>
        </w:tc>
        <w:tc>
          <w:tcPr>
            <w:tcW w:w="6477" w:type="dxa"/>
            <w:tcBorders>
              <w:top w:val="single" w:color="auto" w:sz="4" w:space="0"/>
              <w:left w:val="single" w:color="auto" w:sz="4" w:space="0"/>
              <w:bottom w:val="single" w:color="auto" w:sz="4" w:space="0"/>
              <w:right w:val="single" w:color="auto" w:sz="4" w:space="0"/>
            </w:tcBorders>
            <w:vAlign w:val="center"/>
          </w:tcPr>
          <w:p w14:paraId="1EC7C83D">
            <w:pPr>
              <w:widowControl/>
              <w:numPr>
                <w:ilvl w:val="0"/>
                <w:numId w:val="3"/>
              </w:numPr>
              <w:spacing w:line="440" w:lineRule="exact"/>
              <w:jc w:val="left"/>
              <w:textAlignment w:val="center"/>
              <w:rPr>
                <w:rFonts w:hint="eastAsia" w:ascii="宋体" w:hAnsi="宋体" w:eastAsia="宋体" w:cs="宋体"/>
                <w:bCs/>
                <w:color w:val="000000" w:themeColor="text1"/>
                <w:kern w:val="0"/>
                <w:sz w:val="21"/>
                <w:szCs w:val="21"/>
                <w:highlight w:val="none"/>
                <w14:textFill>
                  <w14:solidFill>
                    <w14:schemeClr w14:val="tx1"/>
                  </w14:solidFill>
                </w14:textFill>
              </w:rPr>
            </w:pPr>
            <w:r>
              <w:rPr>
                <w:rFonts w:hint="eastAsia" w:ascii="宋体" w:hAnsi="宋体" w:eastAsia="宋体" w:cs="宋体"/>
                <w:bCs/>
                <w:color w:val="000000" w:themeColor="text1"/>
                <w:kern w:val="0"/>
                <w:sz w:val="21"/>
                <w:szCs w:val="21"/>
                <w:highlight w:val="none"/>
                <w14:textFill>
                  <w14:solidFill>
                    <w14:schemeClr w14:val="tx1"/>
                  </w14:solidFill>
                </w14:textFill>
              </w:rPr>
              <w:t>主要施工方案</w:t>
            </w:r>
          </w:p>
          <w:p w14:paraId="01C05303">
            <w:pPr>
              <w:widowControl/>
              <w:spacing w:line="440" w:lineRule="exact"/>
              <w:textAlignment w:val="center"/>
              <w:rPr>
                <w:rFonts w:hint="eastAsia" w:ascii="宋体" w:hAnsi="宋体" w:eastAsia="宋体" w:cs="宋体"/>
                <w:bCs/>
                <w:color w:val="000000" w:themeColor="text1"/>
                <w:kern w:val="0"/>
                <w:sz w:val="21"/>
                <w:szCs w:val="21"/>
                <w:highlight w:val="none"/>
                <w14:textFill>
                  <w14:solidFill>
                    <w14:schemeClr w14:val="tx1"/>
                  </w14:solidFill>
                </w14:textFill>
              </w:rPr>
            </w:pPr>
            <w:r>
              <w:rPr>
                <w:rFonts w:hint="eastAsia" w:ascii="宋体" w:hAnsi="宋体" w:eastAsia="宋体" w:cs="宋体"/>
                <w:bCs/>
                <w:color w:val="000000" w:themeColor="text1"/>
                <w:kern w:val="0"/>
                <w:sz w:val="21"/>
                <w:szCs w:val="21"/>
                <w:highlight w:val="none"/>
                <w14:textFill>
                  <w14:solidFill>
                    <w14:schemeClr w14:val="tx1"/>
                  </w14:solidFill>
                </w14:textFill>
              </w:rPr>
              <w:t>由评标委员会依据投标文件中的主要施工方法，质量、安全保证措施，设备搬运方案，现场布置方案，人员、机械安排，建议的安装、调试、验收方法或方案等内容进行评定。</w:t>
            </w:r>
          </w:p>
          <w:p w14:paraId="6CE497ED">
            <w:pPr>
              <w:widowControl/>
              <w:spacing w:line="440" w:lineRule="exact"/>
              <w:textAlignment w:val="center"/>
              <w:rPr>
                <w:rFonts w:hint="eastAsia" w:ascii="宋体" w:hAnsi="宋体" w:eastAsia="宋体" w:cs="宋体"/>
                <w:bCs/>
                <w:color w:val="000000" w:themeColor="text1"/>
                <w:kern w:val="0"/>
                <w:sz w:val="21"/>
                <w:szCs w:val="21"/>
                <w:highlight w:val="none"/>
                <w14:textFill>
                  <w14:solidFill>
                    <w14:schemeClr w14:val="tx1"/>
                  </w14:solidFill>
                </w14:textFill>
              </w:rPr>
            </w:pPr>
            <w:r>
              <w:rPr>
                <w:rFonts w:hint="eastAsia" w:ascii="宋体" w:hAnsi="宋体" w:eastAsia="宋体" w:cs="宋体"/>
                <w:bCs/>
                <w:color w:val="000000" w:themeColor="text1"/>
                <w:kern w:val="0"/>
                <w:sz w:val="21"/>
                <w:szCs w:val="21"/>
                <w:highlight w:val="none"/>
                <w14:textFill>
                  <w14:solidFill>
                    <w14:schemeClr w14:val="tx1"/>
                  </w14:solidFill>
                </w14:textFill>
              </w:rPr>
              <w:t>优（3.6-5）分：投标人提供先进、高效的施工组织方案（附有施工进度图、施工总平面布置图等），投入的机械及人力充足，方案详细，措施具体，针对性、可行性较强，与项目现场实地情况及招标人的实际需求完全符合，提供完善的优化内容（旧机组、管道、水泵等拆除搬运图、新设备运输安装图、冷却塔拆除安装途径方法、机房内空间布局规划、现场布置方案、控制方案、安装调试方案、安全施工应急方案等）。</w:t>
            </w:r>
          </w:p>
          <w:p w14:paraId="457F637A">
            <w:pPr>
              <w:widowControl/>
              <w:spacing w:line="440" w:lineRule="exact"/>
              <w:textAlignment w:val="center"/>
              <w:rPr>
                <w:rFonts w:hint="eastAsia" w:ascii="宋体" w:hAnsi="宋体" w:eastAsia="宋体" w:cs="宋体"/>
                <w:bCs/>
                <w:color w:val="000000" w:themeColor="text1"/>
                <w:kern w:val="0"/>
                <w:sz w:val="21"/>
                <w:szCs w:val="21"/>
                <w:highlight w:val="none"/>
                <w14:textFill>
                  <w14:solidFill>
                    <w14:schemeClr w14:val="tx1"/>
                  </w14:solidFill>
                </w14:textFill>
              </w:rPr>
            </w:pPr>
            <w:r>
              <w:rPr>
                <w:rFonts w:hint="eastAsia" w:ascii="宋体" w:hAnsi="宋体" w:eastAsia="宋体" w:cs="宋体"/>
                <w:bCs/>
                <w:color w:val="000000" w:themeColor="text1"/>
                <w:kern w:val="0"/>
                <w:sz w:val="21"/>
                <w:szCs w:val="21"/>
                <w:highlight w:val="none"/>
                <w14:textFill>
                  <w14:solidFill>
                    <w14:schemeClr w14:val="tx1"/>
                  </w14:solidFill>
                </w14:textFill>
              </w:rPr>
              <w:t>良（1.6-3.5）分：投标人能提供基本的施工组织方案，投入的机械及人员基本满足项目要求，措施具体，施工方法得当，有设备搬运方案、现场布置方案，但与项目现场实地情况及招标人的实际需求有一定偏离；</w:t>
            </w:r>
          </w:p>
          <w:p w14:paraId="75EDE300">
            <w:pPr>
              <w:widowControl/>
              <w:spacing w:line="440" w:lineRule="exact"/>
              <w:textAlignment w:val="center"/>
              <w:rPr>
                <w:rFonts w:hint="eastAsia" w:ascii="宋体" w:hAnsi="宋体" w:eastAsia="宋体" w:cs="宋体"/>
                <w:bCs/>
                <w:color w:val="000000" w:themeColor="text1"/>
                <w:kern w:val="0"/>
                <w:sz w:val="21"/>
                <w:szCs w:val="21"/>
                <w:highlight w:val="none"/>
                <w14:textFill>
                  <w14:solidFill>
                    <w14:schemeClr w14:val="tx1"/>
                  </w14:solidFill>
                </w14:textFill>
              </w:rPr>
            </w:pPr>
            <w:r>
              <w:rPr>
                <w:rFonts w:hint="eastAsia" w:ascii="宋体" w:hAnsi="宋体" w:eastAsia="宋体" w:cs="宋体"/>
                <w:bCs/>
                <w:color w:val="000000" w:themeColor="text1"/>
                <w:kern w:val="0"/>
                <w:sz w:val="21"/>
                <w:szCs w:val="21"/>
                <w:highlight w:val="none"/>
                <w14:textFill>
                  <w14:solidFill>
                    <w14:schemeClr w14:val="tx1"/>
                  </w14:solidFill>
                </w14:textFill>
              </w:rPr>
              <w:t>差（0-1.5）分：投标人能提供基本的施工组织方案，有主要施工方法、有质量、安全保证措施，人员安排等内容，方案基本满足项目要求、但措施、内容不够具体；</w:t>
            </w:r>
          </w:p>
        </w:tc>
      </w:tr>
      <w:tr w14:paraId="28E40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5" w:hRule="atLeast"/>
        </w:trPr>
        <w:tc>
          <w:tcPr>
            <w:tcW w:w="569" w:type="dxa"/>
            <w:vMerge w:val="continue"/>
            <w:tcBorders>
              <w:top w:val="nil"/>
              <w:left w:val="single" w:color="auto" w:sz="4" w:space="0"/>
              <w:bottom w:val="single" w:color="auto" w:sz="4" w:space="0"/>
              <w:right w:val="single" w:color="auto" w:sz="4" w:space="0"/>
            </w:tcBorders>
            <w:vAlign w:val="center"/>
          </w:tcPr>
          <w:p w14:paraId="0DBE1056">
            <w:pPr>
              <w:widowControl/>
              <w:rPr>
                <w:rFonts w:ascii="宋体" w:hAnsi="宋体"/>
                <w:bCs/>
                <w:color w:val="000000" w:themeColor="text1"/>
                <w:szCs w:val="21"/>
                <w:highlight w:val="none"/>
                <w14:textFill>
                  <w14:solidFill>
                    <w14:schemeClr w14:val="tx1"/>
                  </w14:solidFill>
                </w14:textFill>
              </w:rPr>
            </w:pPr>
          </w:p>
        </w:tc>
        <w:tc>
          <w:tcPr>
            <w:tcW w:w="1023" w:type="dxa"/>
            <w:vMerge w:val="continue"/>
            <w:tcBorders>
              <w:top w:val="nil"/>
              <w:left w:val="single" w:color="auto" w:sz="4" w:space="0"/>
              <w:bottom w:val="single" w:color="auto" w:sz="4" w:space="0"/>
              <w:right w:val="single" w:color="auto" w:sz="4" w:space="0"/>
            </w:tcBorders>
            <w:vAlign w:val="center"/>
          </w:tcPr>
          <w:p w14:paraId="4BFC056C">
            <w:pPr>
              <w:widowControl/>
              <w:rPr>
                <w:rFonts w:hint="eastAsia" w:ascii="宋体" w:hAnsi="宋体" w:eastAsia="宋体" w:cs="宋体"/>
                <w:bCs/>
                <w:color w:val="000000" w:themeColor="text1"/>
                <w:spacing w:val="-18"/>
                <w:sz w:val="21"/>
                <w:szCs w:val="21"/>
                <w:highlight w:val="none"/>
                <w14:textFill>
                  <w14:solidFill>
                    <w14:schemeClr w14:val="tx1"/>
                  </w14:solidFill>
                </w14:textFill>
              </w:rPr>
            </w:pPr>
          </w:p>
        </w:tc>
        <w:tc>
          <w:tcPr>
            <w:tcW w:w="1324" w:type="dxa"/>
            <w:vMerge w:val="continue"/>
            <w:tcBorders>
              <w:top w:val="nil"/>
              <w:left w:val="single" w:color="auto" w:sz="4" w:space="0"/>
              <w:bottom w:val="single" w:color="auto" w:sz="4" w:space="0"/>
              <w:right w:val="single" w:color="auto" w:sz="4" w:space="0"/>
            </w:tcBorders>
            <w:vAlign w:val="center"/>
          </w:tcPr>
          <w:p w14:paraId="67243BAD">
            <w:pPr>
              <w:widowControl/>
              <w:rPr>
                <w:rFonts w:hint="eastAsia" w:ascii="宋体" w:hAnsi="宋体" w:eastAsia="宋体" w:cs="宋体"/>
                <w:bCs/>
                <w:color w:val="000000" w:themeColor="text1"/>
                <w:sz w:val="21"/>
                <w:szCs w:val="21"/>
                <w:highlight w:val="none"/>
                <w14:textFill>
                  <w14:solidFill>
                    <w14:schemeClr w14:val="tx1"/>
                  </w14:solidFill>
                </w14:textFill>
              </w:rPr>
            </w:pPr>
          </w:p>
        </w:tc>
        <w:tc>
          <w:tcPr>
            <w:tcW w:w="6477" w:type="dxa"/>
            <w:tcBorders>
              <w:top w:val="single" w:color="auto" w:sz="4" w:space="0"/>
              <w:left w:val="single" w:color="auto" w:sz="4" w:space="0"/>
              <w:bottom w:val="single" w:color="auto" w:sz="4" w:space="0"/>
              <w:right w:val="single" w:color="auto" w:sz="4" w:space="0"/>
            </w:tcBorders>
            <w:vAlign w:val="center"/>
          </w:tcPr>
          <w:p w14:paraId="5AFC122D">
            <w:pPr>
              <w:widowControl/>
              <w:spacing w:line="440" w:lineRule="exact"/>
              <w:textAlignment w:val="center"/>
              <w:rPr>
                <w:rFonts w:hint="eastAsia" w:ascii="宋体" w:hAnsi="宋体" w:eastAsia="宋体" w:cs="宋体"/>
                <w:bCs/>
                <w:color w:val="000000" w:themeColor="text1"/>
                <w:kern w:val="0"/>
                <w:sz w:val="21"/>
                <w:szCs w:val="21"/>
                <w:highlight w:val="none"/>
                <w14:textFill>
                  <w14:solidFill>
                    <w14:schemeClr w14:val="tx1"/>
                  </w14:solidFill>
                </w14:textFill>
              </w:rPr>
            </w:pPr>
            <w:r>
              <w:rPr>
                <w:rFonts w:hint="eastAsia" w:ascii="宋体" w:hAnsi="宋体" w:eastAsia="宋体" w:cs="宋体"/>
                <w:bCs/>
                <w:color w:val="000000" w:themeColor="text1"/>
                <w:kern w:val="0"/>
                <w:sz w:val="21"/>
                <w:szCs w:val="21"/>
                <w:highlight w:val="none"/>
                <w14:textFill>
                  <w14:solidFill>
                    <w14:schemeClr w14:val="tx1"/>
                  </w14:solidFill>
                </w14:textFill>
              </w:rPr>
              <w:t>2.施工质量技术措施</w:t>
            </w:r>
          </w:p>
          <w:p w14:paraId="4513353F">
            <w:pPr>
              <w:widowControl/>
              <w:spacing w:line="440" w:lineRule="exact"/>
              <w:textAlignment w:val="center"/>
              <w:rPr>
                <w:rFonts w:hint="eastAsia" w:ascii="宋体" w:hAnsi="宋体" w:eastAsia="宋体" w:cs="宋体"/>
                <w:bCs/>
                <w:color w:val="000000" w:themeColor="text1"/>
                <w:kern w:val="0"/>
                <w:sz w:val="21"/>
                <w:szCs w:val="21"/>
                <w:highlight w:val="none"/>
                <w14:textFill>
                  <w14:solidFill>
                    <w14:schemeClr w14:val="tx1"/>
                  </w14:solidFill>
                </w14:textFill>
              </w:rPr>
            </w:pPr>
            <w:r>
              <w:rPr>
                <w:rFonts w:hint="eastAsia" w:ascii="宋体" w:hAnsi="宋体" w:eastAsia="宋体" w:cs="宋体"/>
                <w:bCs/>
                <w:color w:val="000000" w:themeColor="text1"/>
                <w:kern w:val="0"/>
                <w:sz w:val="21"/>
                <w:szCs w:val="21"/>
                <w:highlight w:val="none"/>
                <w14:textFill>
                  <w14:solidFill>
                    <w14:schemeClr w14:val="tx1"/>
                  </w14:solidFill>
                </w14:textFill>
              </w:rPr>
              <w:t xml:space="preserve">优（3.6-5）分：应用新技术、新工艺、新设备，针对项目实际提出先进、可行、具体的保证措施，超过招标文件的质量要求及施工验收规范要求。 </w:t>
            </w:r>
          </w:p>
          <w:p w14:paraId="392291F4">
            <w:pPr>
              <w:widowControl/>
              <w:spacing w:line="440" w:lineRule="exact"/>
              <w:textAlignment w:val="center"/>
              <w:rPr>
                <w:rFonts w:hint="eastAsia" w:ascii="宋体" w:hAnsi="宋体" w:eastAsia="宋体" w:cs="宋体"/>
                <w:bCs/>
                <w:color w:val="000000" w:themeColor="text1"/>
                <w:kern w:val="0"/>
                <w:sz w:val="21"/>
                <w:szCs w:val="21"/>
                <w:highlight w:val="none"/>
                <w14:textFill>
                  <w14:solidFill>
                    <w14:schemeClr w14:val="tx1"/>
                  </w14:solidFill>
                </w14:textFill>
              </w:rPr>
            </w:pPr>
            <w:r>
              <w:rPr>
                <w:rFonts w:hint="eastAsia" w:ascii="宋体" w:hAnsi="宋体" w:eastAsia="宋体" w:cs="宋体"/>
                <w:bCs/>
                <w:color w:val="000000" w:themeColor="text1"/>
                <w:kern w:val="0"/>
                <w:sz w:val="21"/>
                <w:szCs w:val="21"/>
                <w:highlight w:val="none"/>
                <w14:textFill>
                  <w14:solidFill>
                    <w14:schemeClr w14:val="tx1"/>
                  </w14:solidFill>
                </w14:textFill>
              </w:rPr>
              <w:t xml:space="preserve">良（1.6-3.5）分：针对项目实际提出先进、可行、具体的保证措施，满足招标文件的质量要求。 </w:t>
            </w:r>
          </w:p>
          <w:p w14:paraId="702599F1">
            <w:pPr>
              <w:widowControl/>
              <w:spacing w:line="440" w:lineRule="exact"/>
              <w:textAlignment w:val="center"/>
              <w:rPr>
                <w:rFonts w:hint="eastAsia" w:ascii="宋体" w:hAnsi="宋体" w:eastAsia="宋体" w:cs="宋体"/>
                <w:bCs/>
                <w:color w:val="000000" w:themeColor="text1"/>
                <w:kern w:val="0"/>
                <w:sz w:val="21"/>
                <w:szCs w:val="21"/>
                <w:highlight w:val="none"/>
                <w14:textFill>
                  <w14:solidFill>
                    <w14:schemeClr w14:val="tx1"/>
                  </w14:solidFill>
                </w14:textFill>
              </w:rPr>
            </w:pPr>
            <w:r>
              <w:rPr>
                <w:rFonts w:hint="eastAsia" w:ascii="宋体" w:hAnsi="宋体" w:eastAsia="宋体" w:cs="宋体"/>
                <w:bCs/>
                <w:color w:val="000000" w:themeColor="text1"/>
                <w:kern w:val="0"/>
                <w:sz w:val="21"/>
                <w:szCs w:val="21"/>
                <w:highlight w:val="none"/>
                <w14:textFill>
                  <w14:solidFill>
                    <w14:schemeClr w14:val="tx1"/>
                  </w14:solidFill>
                </w14:textFill>
              </w:rPr>
              <w:t>差（0-1.5）分：具体措施不可行，不能完全满足招标文件的质量要求。</w:t>
            </w:r>
          </w:p>
        </w:tc>
      </w:tr>
      <w:tr w14:paraId="7A373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569" w:type="dxa"/>
            <w:vMerge w:val="continue"/>
            <w:tcBorders>
              <w:top w:val="nil"/>
              <w:left w:val="single" w:color="auto" w:sz="4" w:space="0"/>
              <w:bottom w:val="single" w:color="auto" w:sz="4" w:space="0"/>
              <w:right w:val="single" w:color="auto" w:sz="4" w:space="0"/>
            </w:tcBorders>
            <w:vAlign w:val="center"/>
          </w:tcPr>
          <w:p w14:paraId="4E5933A2">
            <w:pPr>
              <w:widowControl/>
              <w:rPr>
                <w:rFonts w:ascii="宋体" w:hAnsi="宋体"/>
                <w:bCs/>
                <w:color w:val="000000" w:themeColor="text1"/>
                <w:szCs w:val="21"/>
                <w:highlight w:val="none"/>
                <w14:textFill>
                  <w14:solidFill>
                    <w14:schemeClr w14:val="tx1"/>
                  </w14:solidFill>
                </w14:textFill>
              </w:rPr>
            </w:pPr>
          </w:p>
        </w:tc>
        <w:tc>
          <w:tcPr>
            <w:tcW w:w="1023" w:type="dxa"/>
            <w:vMerge w:val="continue"/>
            <w:tcBorders>
              <w:top w:val="nil"/>
              <w:left w:val="single" w:color="auto" w:sz="4" w:space="0"/>
              <w:bottom w:val="single" w:color="auto" w:sz="4" w:space="0"/>
              <w:right w:val="single" w:color="auto" w:sz="4" w:space="0"/>
            </w:tcBorders>
            <w:vAlign w:val="center"/>
          </w:tcPr>
          <w:p w14:paraId="6FB0DA08">
            <w:pPr>
              <w:widowControl/>
              <w:rPr>
                <w:rFonts w:hint="eastAsia" w:ascii="宋体" w:hAnsi="宋体" w:eastAsia="宋体" w:cs="宋体"/>
                <w:bCs/>
                <w:color w:val="000000" w:themeColor="text1"/>
                <w:spacing w:val="-18"/>
                <w:sz w:val="21"/>
                <w:szCs w:val="21"/>
                <w:highlight w:val="none"/>
                <w14:textFill>
                  <w14:solidFill>
                    <w14:schemeClr w14:val="tx1"/>
                  </w14:solidFill>
                </w14:textFill>
              </w:rPr>
            </w:pPr>
          </w:p>
        </w:tc>
        <w:tc>
          <w:tcPr>
            <w:tcW w:w="1324" w:type="dxa"/>
            <w:vMerge w:val="continue"/>
            <w:tcBorders>
              <w:top w:val="nil"/>
              <w:left w:val="single" w:color="auto" w:sz="4" w:space="0"/>
              <w:bottom w:val="single" w:color="auto" w:sz="4" w:space="0"/>
              <w:right w:val="single" w:color="auto" w:sz="4" w:space="0"/>
            </w:tcBorders>
            <w:vAlign w:val="center"/>
          </w:tcPr>
          <w:p w14:paraId="79DC8AAB">
            <w:pPr>
              <w:widowControl/>
              <w:rPr>
                <w:rFonts w:hint="eastAsia" w:ascii="宋体" w:hAnsi="宋体" w:eastAsia="宋体" w:cs="宋体"/>
                <w:bCs/>
                <w:color w:val="000000" w:themeColor="text1"/>
                <w:sz w:val="21"/>
                <w:szCs w:val="21"/>
                <w:highlight w:val="none"/>
                <w14:textFill>
                  <w14:solidFill>
                    <w14:schemeClr w14:val="tx1"/>
                  </w14:solidFill>
                </w14:textFill>
              </w:rPr>
            </w:pPr>
          </w:p>
        </w:tc>
        <w:tc>
          <w:tcPr>
            <w:tcW w:w="6477" w:type="dxa"/>
            <w:tcBorders>
              <w:top w:val="single" w:color="auto" w:sz="4" w:space="0"/>
              <w:left w:val="single" w:color="auto" w:sz="4" w:space="0"/>
              <w:bottom w:val="single" w:color="auto" w:sz="4" w:space="0"/>
              <w:right w:val="single" w:color="auto" w:sz="4" w:space="0"/>
            </w:tcBorders>
            <w:vAlign w:val="center"/>
          </w:tcPr>
          <w:p w14:paraId="5DD0E8E1">
            <w:pPr>
              <w:widowControl/>
              <w:spacing w:line="440" w:lineRule="exact"/>
              <w:textAlignment w:val="center"/>
              <w:rPr>
                <w:rFonts w:hint="eastAsia" w:ascii="宋体" w:hAnsi="宋体" w:eastAsia="宋体" w:cs="宋体"/>
                <w:bCs/>
                <w:color w:val="000000" w:themeColor="text1"/>
                <w:kern w:val="0"/>
                <w:sz w:val="21"/>
                <w:szCs w:val="21"/>
                <w:highlight w:val="none"/>
                <w14:textFill>
                  <w14:solidFill>
                    <w14:schemeClr w14:val="tx1"/>
                  </w14:solidFill>
                </w14:textFill>
              </w:rPr>
            </w:pPr>
            <w:r>
              <w:rPr>
                <w:rFonts w:hint="eastAsia" w:ascii="宋体" w:hAnsi="宋体" w:eastAsia="宋体" w:cs="宋体"/>
                <w:bCs/>
                <w:color w:val="000000" w:themeColor="text1"/>
                <w:kern w:val="0"/>
                <w:sz w:val="21"/>
                <w:szCs w:val="21"/>
                <w:highlight w:val="none"/>
                <w14:textFill>
                  <w14:solidFill>
                    <w14:schemeClr w14:val="tx1"/>
                  </w14:solidFill>
                </w14:textFill>
              </w:rPr>
              <w:t>3.安全生产技术措施</w:t>
            </w:r>
          </w:p>
          <w:p w14:paraId="13EA0894">
            <w:pPr>
              <w:widowControl/>
              <w:spacing w:line="440" w:lineRule="exact"/>
              <w:textAlignment w:val="center"/>
              <w:rPr>
                <w:rFonts w:hint="eastAsia" w:ascii="宋体" w:hAnsi="宋体" w:eastAsia="宋体" w:cs="宋体"/>
                <w:bCs/>
                <w:color w:val="000000" w:themeColor="text1"/>
                <w:kern w:val="0"/>
                <w:sz w:val="21"/>
                <w:szCs w:val="21"/>
                <w:highlight w:val="none"/>
                <w14:textFill>
                  <w14:solidFill>
                    <w14:schemeClr w14:val="tx1"/>
                  </w14:solidFill>
                </w14:textFill>
              </w:rPr>
            </w:pPr>
            <w:r>
              <w:rPr>
                <w:rFonts w:hint="eastAsia" w:ascii="宋体" w:hAnsi="宋体" w:eastAsia="宋体" w:cs="宋体"/>
                <w:bCs/>
                <w:color w:val="000000" w:themeColor="text1"/>
                <w:kern w:val="0"/>
                <w:sz w:val="21"/>
                <w:szCs w:val="21"/>
                <w:highlight w:val="none"/>
                <w14:textFill>
                  <w14:solidFill>
                    <w14:schemeClr w14:val="tx1"/>
                  </w14:solidFill>
                </w14:textFill>
              </w:rPr>
              <w:t>优（3.6-5）分：针对项目实际情况，有先进、具体、完整、可行的实施措施，采用规范正确、清晰，能明确各主要施工阶段安全生产重点难点及应对方案，如机房旧设备拆除运输，配变电施工，冷却塔拆除、运输、吊装等。</w:t>
            </w:r>
          </w:p>
          <w:p w14:paraId="00FEB972">
            <w:pPr>
              <w:widowControl/>
              <w:spacing w:line="440" w:lineRule="exact"/>
              <w:textAlignment w:val="center"/>
              <w:rPr>
                <w:rFonts w:hint="eastAsia" w:ascii="宋体" w:hAnsi="宋体" w:eastAsia="宋体" w:cs="宋体"/>
                <w:bCs/>
                <w:color w:val="000000" w:themeColor="text1"/>
                <w:kern w:val="0"/>
                <w:sz w:val="21"/>
                <w:szCs w:val="21"/>
                <w:highlight w:val="none"/>
                <w14:textFill>
                  <w14:solidFill>
                    <w14:schemeClr w14:val="tx1"/>
                  </w14:solidFill>
                </w14:textFill>
              </w:rPr>
            </w:pPr>
            <w:r>
              <w:rPr>
                <w:rFonts w:hint="eastAsia" w:ascii="宋体" w:hAnsi="宋体" w:eastAsia="宋体" w:cs="宋体"/>
                <w:bCs/>
                <w:color w:val="000000" w:themeColor="text1"/>
                <w:kern w:val="0"/>
                <w:sz w:val="21"/>
                <w:szCs w:val="21"/>
                <w:highlight w:val="none"/>
                <w14:textFill>
                  <w14:solidFill>
                    <w14:schemeClr w14:val="tx1"/>
                  </w14:solidFill>
                </w14:textFill>
              </w:rPr>
              <w:t>良（1.6-3.5）分：针对项目实际情况，有合理的措施且具体、完整，采用规范正确。</w:t>
            </w:r>
          </w:p>
          <w:p w14:paraId="4C4589CE">
            <w:pPr>
              <w:widowControl/>
              <w:spacing w:line="440" w:lineRule="exact"/>
              <w:textAlignment w:val="center"/>
              <w:rPr>
                <w:rFonts w:hint="eastAsia" w:ascii="宋体" w:hAnsi="宋体" w:eastAsia="宋体" w:cs="宋体"/>
                <w:bCs/>
                <w:color w:val="000000" w:themeColor="text1"/>
                <w:kern w:val="0"/>
                <w:sz w:val="21"/>
                <w:szCs w:val="21"/>
                <w:highlight w:val="none"/>
                <w14:textFill>
                  <w14:solidFill>
                    <w14:schemeClr w14:val="tx1"/>
                  </w14:solidFill>
                </w14:textFill>
              </w:rPr>
            </w:pPr>
            <w:r>
              <w:rPr>
                <w:rFonts w:hint="eastAsia" w:ascii="宋体" w:hAnsi="宋体" w:eastAsia="宋体" w:cs="宋体"/>
                <w:bCs/>
                <w:color w:val="000000" w:themeColor="text1"/>
                <w:kern w:val="0"/>
                <w:sz w:val="21"/>
                <w:szCs w:val="21"/>
                <w:highlight w:val="none"/>
                <w14:textFill>
                  <w14:solidFill>
                    <w14:schemeClr w14:val="tx1"/>
                  </w14:solidFill>
                </w14:textFill>
              </w:rPr>
              <w:t>差（0-1.5）分：安全文明措施不得力，采用规范不正确。</w:t>
            </w:r>
          </w:p>
        </w:tc>
      </w:tr>
      <w:tr w14:paraId="5C292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569" w:type="dxa"/>
            <w:vMerge w:val="continue"/>
            <w:tcBorders>
              <w:top w:val="nil"/>
              <w:left w:val="single" w:color="auto" w:sz="4" w:space="0"/>
              <w:bottom w:val="single" w:color="auto" w:sz="4" w:space="0"/>
              <w:right w:val="single" w:color="auto" w:sz="4" w:space="0"/>
            </w:tcBorders>
            <w:vAlign w:val="center"/>
          </w:tcPr>
          <w:p w14:paraId="231D048B">
            <w:pPr>
              <w:widowControl/>
              <w:rPr>
                <w:rFonts w:ascii="宋体" w:hAnsi="宋体"/>
                <w:bCs/>
                <w:color w:val="000000" w:themeColor="text1"/>
                <w:szCs w:val="21"/>
                <w:highlight w:val="none"/>
                <w14:textFill>
                  <w14:solidFill>
                    <w14:schemeClr w14:val="tx1"/>
                  </w14:solidFill>
                </w14:textFill>
              </w:rPr>
            </w:pPr>
          </w:p>
        </w:tc>
        <w:tc>
          <w:tcPr>
            <w:tcW w:w="1023" w:type="dxa"/>
            <w:vMerge w:val="continue"/>
            <w:tcBorders>
              <w:top w:val="nil"/>
              <w:left w:val="single" w:color="auto" w:sz="4" w:space="0"/>
              <w:bottom w:val="single" w:color="auto" w:sz="4" w:space="0"/>
              <w:right w:val="single" w:color="auto" w:sz="4" w:space="0"/>
            </w:tcBorders>
            <w:vAlign w:val="center"/>
          </w:tcPr>
          <w:p w14:paraId="59DB3526">
            <w:pPr>
              <w:widowControl/>
              <w:rPr>
                <w:rFonts w:hint="eastAsia" w:ascii="宋体" w:hAnsi="宋体" w:eastAsia="宋体" w:cs="宋体"/>
                <w:bCs/>
                <w:color w:val="000000" w:themeColor="text1"/>
                <w:spacing w:val="-18"/>
                <w:sz w:val="21"/>
                <w:szCs w:val="21"/>
                <w:highlight w:val="none"/>
                <w14:textFill>
                  <w14:solidFill>
                    <w14:schemeClr w14:val="tx1"/>
                  </w14:solidFill>
                </w14:textFill>
              </w:rPr>
            </w:pPr>
          </w:p>
        </w:tc>
        <w:tc>
          <w:tcPr>
            <w:tcW w:w="1324"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18DEF250">
            <w:pPr>
              <w:spacing w:line="440" w:lineRule="exact"/>
              <w:jc w:val="center"/>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智能控制系统技术方案（5分）</w:t>
            </w:r>
          </w:p>
        </w:tc>
        <w:tc>
          <w:tcPr>
            <w:tcW w:w="6477" w:type="dxa"/>
            <w:tcBorders>
              <w:top w:val="single" w:color="auto" w:sz="4" w:space="0"/>
              <w:left w:val="single" w:color="auto" w:sz="4" w:space="0"/>
              <w:bottom w:val="single" w:color="auto" w:sz="4" w:space="0"/>
              <w:right w:val="single" w:color="auto" w:sz="4" w:space="0"/>
            </w:tcBorders>
          </w:tcPr>
          <w:p w14:paraId="325C9074">
            <w:pPr>
              <w:spacing w:line="440" w:lineRule="exact"/>
              <w:rPr>
                <w:rFonts w:hint="eastAsia" w:ascii="宋体" w:hAnsi="宋体" w:eastAsia="宋体" w:cs="宋体"/>
                <w:bCs/>
                <w:color w:val="000000" w:themeColor="text1"/>
                <w:kern w:val="0"/>
                <w:sz w:val="21"/>
                <w:szCs w:val="21"/>
                <w:highlight w:val="none"/>
                <w14:textFill>
                  <w14:solidFill>
                    <w14:schemeClr w14:val="tx1"/>
                  </w14:solidFill>
                </w14:textFill>
              </w:rPr>
            </w:pPr>
            <w:r>
              <w:rPr>
                <w:rFonts w:hint="eastAsia" w:ascii="宋体" w:hAnsi="宋体" w:eastAsia="宋体" w:cs="宋体"/>
                <w:bCs/>
                <w:color w:val="000000" w:themeColor="text1"/>
                <w:kern w:val="0"/>
                <w:sz w:val="21"/>
                <w:szCs w:val="21"/>
                <w:highlight w:val="none"/>
                <w14:textFill>
                  <w14:solidFill>
                    <w14:schemeClr w14:val="tx1"/>
                  </w14:solidFill>
                </w14:textFill>
              </w:rPr>
              <w:t>根据本项目设备情况提供相应的设备和系统控制的介绍和方案（包括但不仅限于空调、热水系统运行监控、设备管理、能耗管理、系统报警管理等内容）进行评分。</w:t>
            </w:r>
          </w:p>
          <w:p w14:paraId="4D010924">
            <w:pPr>
              <w:widowControl/>
              <w:spacing w:line="440" w:lineRule="exact"/>
              <w:textAlignment w:val="center"/>
              <w:rPr>
                <w:rFonts w:hint="eastAsia" w:ascii="宋体" w:hAnsi="宋体" w:eastAsia="宋体" w:cs="宋体"/>
                <w:bCs/>
                <w:color w:val="000000" w:themeColor="text1"/>
                <w:kern w:val="0"/>
                <w:sz w:val="21"/>
                <w:szCs w:val="21"/>
                <w:highlight w:val="none"/>
                <w14:textFill>
                  <w14:solidFill>
                    <w14:schemeClr w14:val="tx1"/>
                  </w14:solidFill>
                </w14:textFill>
              </w:rPr>
            </w:pPr>
            <w:r>
              <w:rPr>
                <w:rFonts w:hint="eastAsia" w:ascii="宋体" w:hAnsi="宋体" w:eastAsia="宋体" w:cs="宋体"/>
                <w:bCs/>
                <w:color w:val="000000" w:themeColor="text1"/>
                <w:kern w:val="0"/>
                <w:sz w:val="21"/>
                <w:szCs w:val="21"/>
                <w:highlight w:val="none"/>
                <w14:textFill>
                  <w14:solidFill>
                    <w14:schemeClr w14:val="tx1"/>
                  </w14:solidFill>
                </w14:textFill>
              </w:rPr>
              <w:t>优（3.6-5）分：能参考设计方案中“冷源群控系统”中的相关描述及功能要求实现相关功能，包括各类设备启停控制、功率控制、各类设备运行参数的监控、数据反馈、协调各类设备运行逻辑以，有较好的节能效果。</w:t>
            </w:r>
          </w:p>
          <w:p w14:paraId="463B775C">
            <w:pPr>
              <w:widowControl/>
              <w:spacing w:line="440" w:lineRule="exact"/>
              <w:textAlignment w:val="center"/>
              <w:rPr>
                <w:rFonts w:hint="eastAsia" w:ascii="宋体" w:hAnsi="宋体" w:eastAsia="宋体" w:cs="宋体"/>
                <w:bCs/>
                <w:color w:val="000000" w:themeColor="text1"/>
                <w:kern w:val="0"/>
                <w:sz w:val="21"/>
                <w:szCs w:val="21"/>
                <w:highlight w:val="none"/>
                <w14:textFill>
                  <w14:solidFill>
                    <w14:schemeClr w14:val="tx1"/>
                  </w14:solidFill>
                </w14:textFill>
              </w:rPr>
            </w:pPr>
            <w:r>
              <w:rPr>
                <w:rFonts w:hint="eastAsia" w:ascii="宋体" w:hAnsi="宋体" w:eastAsia="宋体" w:cs="宋体"/>
                <w:bCs/>
                <w:color w:val="000000" w:themeColor="text1"/>
                <w:kern w:val="0"/>
                <w:sz w:val="21"/>
                <w:szCs w:val="21"/>
                <w:highlight w:val="none"/>
                <w14:textFill>
                  <w14:solidFill>
                    <w14:schemeClr w14:val="tx1"/>
                  </w14:solidFill>
                </w14:textFill>
              </w:rPr>
              <w:t>良（1.6-3.5）分：能参考设计方案中“冷源群控系统”中的相关描述，能实现大部分相关功能，实现大部分设备启停控制、功率控制、各类设备运行参数的监控、数据反馈、协调各类设备运行逻辑，有一定的节能效果。</w:t>
            </w:r>
          </w:p>
          <w:p w14:paraId="35FEDC69">
            <w:pPr>
              <w:pStyle w:val="2"/>
              <w:ind w:firstLine="0" w:firstLineChars="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kern w:val="0"/>
                <w:sz w:val="21"/>
                <w:szCs w:val="21"/>
                <w:highlight w:val="none"/>
                <w14:textFill>
                  <w14:solidFill>
                    <w14:schemeClr w14:val="tx1"/>
                  </w14:solidFill>
                </w14:textFill>
              </w:rPr>
              <w:t>差（0-1.5）分：能参考设计方案中“冷源群控系统”中的相关描述，仅能实现少部分相关功能，控制少部分设备启停、功率控制、各类设备运行参数的监控、数据反馈、协调各类设备运行逻辑，节能效果一般。</w:t>
            </w:r>
          </w:p>
        </w:tc>
      </w:tr>
      <w:tr w14:paraId="6FB4F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69" w:type="dxa"/>
            <w:vMerge w:val="continue"/>
            <w:tcBorders>
              <w:top w:val="nil"/>
              <w:left w:val="single" w:color="auto" w:sz="4" w:space="0"/>
              <w:bottom w:val="single" w:color="auto" w:sz="4" w:space="0"/>
              <w:right w:val="single" w:color="auto" w:sz="4" w:space="0"/>
            </w:tcBorders>
            <w:vAlign w:val="center"/>
          </w:tcPr>
          <w:p w14:paraId="0DB85A8F">
            <w:pPr>
              <w:widowControl/>
              <w:rPr>
                <w:rFonts w:ascii="宋体" w:hAnsi="宋体"/>
                <w:bCs/>
                <w:color w:val="000000" w:themeColor="text1"/>
                <w:szCs w:val="21"/>
                <w:highlight w:val="none"/>
                <w14:textFill>
                  <w14:solidFill>
                    <w14:schemeClr w14:val="tx1"/>
                  </w14:solidFill>
                </w14:textFill>
              </w:rPr>
            </w:pPr>
          </w:p>
        </w:tc>
        <w:tc>
          <w:tcPr>
            <w:tcW w:w="1023" w:type="dxa"/>
            <w:vMerge w:val="continue"/>
            <w:tcBorders>
              <w:top w:val="nil"/>
              <w:left w:val="single" w:color="auto" w:sz="4" w:space="0"/>
              <w:bottom w:val="single" w:color="auto" w:sz="4" w:space="0"/>
              <w:right w:val="single" w:color="auto" w:sz="4" w:space="0"/>
            </w:tcBorders>
            <w:vAlign w:val="center"/>
          </w:tcPr>
          <w:p w14:paraId="5B208D9C">
            <w:pPr>
              <w:widowControl/>
              <w:rPr>
                <w:rFonts w:hint="eastAsia" w:ascii="宋体" w:hAnsi="宋体" w:eastAsia="宋体" w:cs="宋体"/>
                <w:bCs/>
                <w:color w:val="000000" w:themeColor="text1"/>
                <w:spacing w:val="-18"/>
                <w:sz w:val="21"/>
                <w:szCs w:val="21"/>
                <w:highlight w:val="none"/>
                <w14:textFill>
                  <w14:solidFill>
                    <w14:schemeClr w14:val="tx1"/>
                  </w14:solidFill>
                </w14:textFill>
              </w:rPr>
            </w:pPr>
          </w:p>
        </w:tc>
        <w:tc>
          <w:tcPr>
            <w:tcW w:w="1324"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535786BB">
            <w:pPr>
              <w:spacing w:line="440" w:lineRule="exact"/>
              <w:jc w:val="center"/>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项目管理机构（满分3分）</w:t>
            </w:r>
          </w:p>
        </w:tc>
        <w:tc>
          <w:tcPr>
            <w:tcW w:w="6477" w:type="dxa"/>
            <w:tcBorders>
              <w:top w:val="single" w:color="auto" w:sz="4" w:space="0"/>
              <w:left w:val="single" w:color="auto" w:sz="4" w:space="0"/>
              <w:bottom w:val="single" w:color="auto" w:sz="4" w:space="0"/>
              <w:right w:val="single" w:color="auto" w:sz="4" w:space="0"/>
            </w:tcBorders>
          </w:tcPr>
          <w:p w14:paraId="6B7AE6C2">
            <w:pPr>
              <w:spacing w:line="440" w:lineRule="exact"/>
              <w:rPr>
                <w:rFonts w:hint="eastAsia" w:ascii="宋体" w:hAnsi="宋体" w:eastAsia="宋体" w:cs="宋体"/>
                <w:bCs/>
                <w:color w:val="000000" w:themeColor="text1"/>
                <w:kern w:val="0"/>
                <w:sz w:val="21"/>
                <w:szCs w:val="21"/>
                <w:highlight w:val="none"/>
                <w14:textFill>
                  <w14:solidFill>
                    <w14:schemeClr w14:val="tx1"/>
                  </w14:solidFill>
                </w14:textFill>
              </w:rPr>
            </w:pPr>
            <w:r>
              <w:rPr>
                <w:rFonts w:hint="eastAsia" w:ascii="宋体" w:hAnsi="宋体" w:eastAsia="宋体" w:cs="宋体"/>
                <w:bCs/>
                <w:color w:val="000000" w:themeColor="text1"/>
                <w:kern w:val="0"/>
                <w:sz w:val="21"/>
                <w:szCs w:val="21"/>
                <w:highlight w:val="none"/>
                <w14:textFill>
                  <w14:solidFill>
                    <w14:schemeClr w14:val="tx1"/>
                  </w14:solidFill>
                </w14:textFill>
              </w:rPr>
              <w:t>1.项目经理任职资格（满分1分）</w:t>
            </w:r>
          </w:p>
          <w:p w14:paraId="398B786E">
            <w:pPr>
              <w:spacing w:line="440" w:lineRule="exact"/>
              <w:rPr>
                <w:rFonts w:hint="eastAsia" w:ascii="宋体" w:hAnsi="宋体" w:eastAsia="宋体" w:cs="宋体"/>
                <w:bCs/>
                <w:color w:val="000000" w:themeColor="text1"/>
                <w:kern w:val="0"/>
                <w:sz w:val="21"/>
                <w:szCs w:val="21"/>
                <w:highlight w:val="none"/>
                <w14:textFill>
                  <w14:solidFill>
                    <w14:schemeClr w14:val="tx1"/>
                  </w14:solidFill>
                </w14:textFill>
              </w:rPr>
            </w:pPr>
            <w:r>
              <w:rPr>
                <w:rFonts w:hint="eastAsia" w:ascii="宋体" w:hAnsi="宋体" w:eastAsia="宋体" w:cs="宋体"/>
                <w:bCs/>
                <w:color w:val="000000" w:themeColor="text1"/>
                <w:kern w:val="0"/>
                <w:sz w:val="21"/>
                <w:szCs w:val="21"/>
                <w:highlight w:val="none"/>
                <w14:textFill>
                  <w14:solidFill>
                    <w14:schemeClr w14:val="tx1"/>
                  </w14:solidFill>
                </w14:textFill>
              </w:rPr>
              <w:t>项目经理职称：具有工程师职称的得0.5 分，具有高级工程师职称的得1分。</w:t>
            </w:r>
          </w:p>
          <w:p w14:paraId="6ACF60B2">
            <w:pPr>
              <w:spacing w:line="440" w:lineRule="exact"/>
              <w:rPr>
                <w:rFonts w:hint="eastAsia" w:ascii="宋体" w:hAnsi="宋体" w:eastAsia="宋体" w:cs="宋体"/>
                <w:bCs/>
                <w:color w:val="000000" w:themeColor="text1"/>
                <w:kern w:val="0"/>
                <w:sz w:val="21"/>
                <w:szCs w:val="21"/>
                <w:highlight w:val="none"/>
                <w14:textFill>
                  <w14:solidFill>
                    <w14:schemeClr w14:val="tx1"/>
                  </w14:solidFill>
                </w14:textFill>
              </w:rPr>
            </w:pPr>
            <w:r>
              <w:rPr>
                <w:rFonts w:hint="eastAsia" w:ascii="宋体" w:hAnsi="宋体" w:eastAsia="宋体" w:cs="宋体"/>
                <w:bCs/>
                <w:color w:val="000000" w:themeColor="text1"/>
                <w:kern w:val="0"/>
                <w:sz w:val="21"/>
                <w:szCs w:val="21"/>
                <w:highlight w:val="none"/>
                <w14:textFill>
                  <w14:solidFill>
                    <w14:schemeClr w14:val="tx1"/>
                  </w14:solidFill>
                </w14:textFill>
              </w:rPr>
              <w:t>拟派任项目经理必须与资格审查合格通过的项目经理(或注册建造师) 在名称、专业、资格等级等方面一致。否则不得分。</w:t>
            </w:r>
          </w:p>
          <w:p w14:paraId="1325B8A5">
            <w:pPr>
              <w:spacing w:line="440" w:lineRule="exact"/>
              <w:rPr>
                <w:rFonts w:hint="eastAsia" w:ascii="宋体" w:hAnsi="宋体" w:eastAsia="宋体" w:cs="宋体"/>
                <w:bCs/>
                <w:color w:val="000000" w:themeColor="text1"/>
                <w:kern w:val="0"/>
                <w:sz w:val="21"/>
                <w:szCs w:val="21"/>
                <w:highlight w:val="none"/>
                <w14:textFill>
                  <w14:solidFill>
                    <w14:schemeClr w14:val="tx1"/>
                  </w14:solidFill>
                </w14:textFill>
              </w:rPr>
            </w:pPr>
            <w:r>
              <w:rPr>
                <w:rFonts w:hint="eastAsia" w:ascii="宋体" w:hAnsi="宋体" w:eastAsia="宋体" w:cs="宋体"/>
                <w:bCs/>
                <w:color w:val="000000" w:themeColor="text1"/>
                <w:kern w:val="0"/>
                <w:sz w:val="21"/>
                <w:szCs w:val="21"/>
                <w:highlight w:val="none"/>
                <w14:textFill>
                  <w14:solidFill>
                    <w14:schemeClr w14:val="tx1"/>
                  </w14:solidFill>
                </w14:textFill>
              </w:rPr>
              <w:t>（附相关证书材料的复印件，及投标人为上述人员缴纳投标截止时间前半年内任意连续三个月的社会保险的证明材料，否则不予计分。）</w:t>
            </w:r>
          </w:p>
          <w:p w14:paraId="2779B0DC">
            <w:pPr>
              <w:spacing w:line="440" w:lineRule="exact"/>
              <w:rPr>
                <w:rFonts w:hint="eastAsia" w:ascii="宋体" w:hAnsi="宋体" w:eastAsia="宋体" w:cs="宋体"/>
                <w:bCs/>
                <w:color w:val="000000" w:themeColor="text1"/>
                <w:kern w:val="0"/>
                <w:sz w:val="21"/>
                <w:szCs w:val="21"/>
                <w:highlight w:val="none"/>
                <w14:textFill>
                  <w14:solidFill>
                    <w14:schemeClr w14:val="tx1"/>
                  </w14:solidFill>
                </w14:textFill>
              </w:rPr>
            </w:pPr>
            <w:r>
              <w:rPr>
                <w:rFonts w:hint="eastAsia" w:ascii="宋体" w:hAnsi="宋体" w:eastAsia="宋体" w:cs="宋体"/>
                <w:bCs/>
                <w:color w:val="000000" w:themeColor="text1"/>
                <w:kern w:val="0"/>
                <w:sz w:val="21"/>
                <w:szCs w:val="21"/>
                <w:highlight w:val="none"/>
                <w14:textFill>
                  <w14:solidFill>
                    <w14:schemeClr w14:val="tx1"/>
                  </w14:solidFill>
                </w14:textFill>
              </w:rPr>
              <w:t>2.其他团队人员（2分）</w:t>
            </w:r>
          </w:p>
          <w:p w14:paraId="7F824307">
            <w:pPr>
              <w:spacing w:line="440" w:lineRule="exact"/>
              <w:rPr>
                <w:rFonts w:hint="eastAsia" w:ascii="宋体" w:hAnsi="宋体" w:eastAsia="宋体" w:cs="宋体"/>
                <w:bCs/>
                <w:color w:val="000000" w:themeColor="text1"/>
                <w:kern w:val="0"/>
                <w:sz w:val="21"/>
                <w:szCs w:val="21"/>
                <w:highlight w:val="none"/>
                <w14:textFill>
                  <w14:solidFill>
                    <w14:schemeClr w14:val="tx1"/>
                  </w14:solidFill>
                </w14:textFill>
              </w:rPr>
            </w:pPr>
            <w:r>
              <w:rPr>
                <w:rFonts w:hint="eastAsia" w:ascii="宋体" w:hAnsi="宋体" w:eastAsia="宋体" w:cs="宋体"/>
                <w:bCs/>
                <w:color w:val="000000" w:themeColor="text1"/>
                <w:kern w:val="0"/>
                <w:sz w:val="21"/>
                <w:szCs w:val="21"/>
                <w:highlight w:val="none"/>
                <w14:textFill>
                  <w14:solidFill>
                    <w14:schemeClr w14:val="tx1"/>
                  </w14:solidFill>
                </w14:textFill>
              </w:rPr>
              <w:t>拟投入本工程技术负责人具有机电或暖通专业高级职称的，得1分。</w:t>
            </w:r>
          </w:p>
          <w:p w14:paraId="6E54779C">
            <w:pPr>
              <w:spacing w:line="440" w:lineRule="exact"/>
              <w:rPr>
                <w:rFonts w:hint="eastAsia" w:ascii="宋体" w:hAnsi="宋体" w:eastAsia="宋体" w:cs="宋体"/>
                <w:bCs/>
                <w:color w:val="000000" w:themeColor="text1"/>
                <w:kern w:val="0"/>
                <w:sz w:val="21"/>
                <w:szCs w:val="21"/>
                <w:highlight w:val="none"/>
                <w14:textFill>
                  <w14:solidFill>
                    <w14:schemeClr w14:val="tx1"/>
                  </w14:solidFill>
                </w14:textFill>
              </w:rPr>
            </w:pPr>
            <w:r>
              <w:rPr>
                <w:rFonts w:hint="eastAsia" w:ascii="宋体" w:hAnsi="宋体" w:eastAsia="宋体" w:cs="宋体"/>
                <w:bCs/>
                <w:color w:val="000000" w:themeColor="text1"/>
                <w:kern w:val="0"/>
                <w:sz w:val="21"/>
                <w:szCs w:val="21"/>
                <w:highlight w:val="none"/>
                <w14:textFill>
                  <w14:solidFill>
                    <w14:schemeClr w14:val="tx1"/>
                  </w14:solidFill>
                </w14:textFill>
              </w:rPr>
              <w:t>安全员、施工员、质量员、材料员、机械员等持有有效的执业资格证书且具有中级及以上职称的的，每个类型有一人得0.5分，最高1分。（附相关证书材料的复印件，及投标人为上述人员缴纳投标截止时间前半年内任意连续三个月的社会保险的证明材料，否则不予计分。）</w:t>
            </w:r>
          </w:p>
          <w:p w14:paraId="4C1E0D42">
            <w:pPr>
              <w:spacing w:line="440" w:lineRule="exact"/>
              <w:rPr>
                <w:rFonts w:hint="eastAsia" w:ascii="宋体" w:hAnsi="宋体" w:eastAsia="宋体" w:cs="宋体"/>
                <w:bCs/>
                <w:color w:val="000000" w:themeColor="text1"/>
                <w:kern w:val="0"/>
                <w:sz w:val="21"/>
                <w:szCs w:val="21"/>
                <w:highlight w:val="none"/>
                <w14:textFill>
                  <w14:solidFill>
                    <w14:schemeClr w14:val="tx1"/>
                  </w14:solidFill>
                </w14:textFill>
              </w:rPr>
            </w:pPr>
            <w:r>
              <w:rPr>
                <w:rFonts w:hint="eastAsia" w:ascii="宋体" w:hAnsi="宋体" w:eastAsia="宋体" w:cs="宋体"/>
                <w:bCs/>
                <w:color w:val="000000" w:themeColor="text1"/>
                <w:kern w:val="0"/>
                <w:sz w:val="21"/>
                <w:szCs w:val="21"/>
                <w:highlight w:val="none"/>
                <w14:textFill>
                  <w14:solidFill>
                    <w14:schemeClr w14:val="tx1"/>
                  </w14:solidFill>
                </w14:textFill>
              </w:rPr>
              <w:t>基本要求：人员齐备、专业配套应与资格审查提供的人员配备相一致，且具备相关岗位证书（拟派驻本项目的技术负责人应具有中级及以上职称证件，安全员、施工员、质量员、材料员、机械员应具有相应岗位资格证书，且拟投入的项目管理人员符合国家及广西壮族自治区的规定）。</w:t>
            </w:r>
          </w:p>
        </w:tc>
      </w:tr>
      <w:tr w14:paraId="60B6A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3" w:hRule="atLeast"/>
        </w:trPr>
        <w:tc>
          <w:tcPr>
            <w:tcW w:w="569" w:type="dxa"/>
            <w:vMerge w:val="continue"/>
            <w:tcBorders>
              <w:top w:val="nil"/>
              <w:left w:val="single" w:color="auto" w:sz="4" w:space="0"/>
              <w:bottom w:val="single" w:color="auto" w:sz="4" w:space="0"/>
              <w:right w:val="single" w:color="auto" w:sz="4" w:space="0"/>
            </w:tcBorders>
            <w:vAlign w:val="center"/>
          </w:tcPr>
          <w:p w14:paraId="659A722B">
            <w:pPr>
              <w:widowControl/>
              <w:rPr>
                <w:rFonts w:ascii="宋体" w:hAnsi="宋体"/>
                <w:bCs/>
                <w:color w:val="000000" w:themeColor="text1"/>
                <w:szCs w:val="21"/>
                <w:highlight w:val="none"/>
                <w14:textFill>
                  <w14:solidFill>
                    <w14:schemeClr w14:val="tx1"/>
                  </w14:solidFill>
                </w14:textFill>
              </w:rPr>
            </w:pPr>
          </w:p>
        </w:tc>
        <w:tc>
          <w:tcPr>
            <w:tcW w:w="1023" w:type="dxa"/>
            <w:vMerge w:val="continue"/>
            <w:tcBorders>
              <w:top w:val="nil"/>
              <w:left w:val="single" w:color="auto" w:sz="4" w:space="0"/>
              <w:bottom w:val="single" w:color="auto" w:sz="4" w:space="0"/>
              <w:right w:val="single" w:color="auto" w:sz="4" w:space="0"/>
            </w:tcBorders>
            <w:vAlign w:val="center"/>
          </w:tcPr>
          <w:p w14:paraId="1DA69037">
            <w:pPr>
              <w:widowControl/>
              <w:rPr>
                <w:rFonts w:hint="eastAsia" w:ascii="宋体" w:hAnsi="宋体" w:eastAsia="宋体" w:cs="宋体"/>
                <w:bCs/>
                <w:color w:val="000000" w:themeColor="text1"/>
                <w:spacing w:val="-18"/>
                <w:sz w:val="21"/>
                <w:szCs w:val="21"/>
                <w:highlight w:val="none"/>
                <w14:textFill>
                  <w14:solidFill>
                    <w14:schemeClr w14:val="tx1"/>
                  </w14:solidFill>
                </w14:textFill>
              </w:rPr>
            </w:pPr>
          </w:p>
        </w:tc>
        <w:tc>
          <w:tcPr>
            <w:tcW w:w="1324"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0960643E">
            <w:pPr>
              <w:spacing w:line="440" w:lineRule="exact"/>
              <w:jc w:val="center"/>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kern w:val="0"/>
                <w:sz w:val="21"/>
                <w:szCs w:val="21"/>
                <w:highlight w:val="none"/>
                <w14:textFill>
                  <w14:solidFill>
                    <w14:schemeClr w14:val="tx1"/>
                  </w14:solidFill>
                </w14:textFill>
              </w:rPr>
              <w:t>售后服务方案（满分5分）</w:t>
            </w:r>
          </w:p>
        </w:tc>
        <w:tc>
          <w:tcPr>
            <w:tcW w:w="6477" w:type="dxa"/>
            <w:tcBorders>
              <w:top w:val="single" w:color="auto" w:sz="4" w:space="0"/>
              <w:left w:val="single" w:color="auto" w:sz="4" w:space="0"/>
              <w:bottom w:val="single" w:color="auto" w:sz="4" w:space="0"/>
              <w:right w:val="single" w:color="auto" w:sz="4" w:space="0"/>
            </w:tcBorders>
          </w:tcPr>
          <w:p w14:paraId="7363E761">
            <w:pPr>
              <w:spacing w:line="440" w:lineRule="exact"/>
              <w:rPr>
                <w:rFonts w:hint="eastAsia" w:ascii="宋体" w:hAnsi="宋体" w:eastAsia="宋体" w:cs="宋体"/>
                <w:bCs/>
                <w:color w:val="000000" w:themeColor="text1"/>
                <w:kern w:val="0"/>
                <w:sz w:val="21"/>
                <w:szCs w:val="21"/>
                <w:highlight w:val="none"/>
                <w14:textFill>
                  <w14:solidFill>
                    <w14:schemeClr w14:val="tx1"/>
                  </w14:solidFill>
                </w14:textFill>
              </w:rPr>
            </w:pPr>
            <w:r>
              <w:rPr>
                <w:rFonts w:hint="eastAsia" w:ascii="宋体" w:hAnsi="宋体" w:eastAsia="宋体" w:cs="宋体"/>
                <w:bCs/>
                <w:color w:val="000000" w:themeColor="text1"/>
                <w:kern w:val="0"/>
                <w:sz w:val="21"/>
                <w:szCs w:val="21"/>
                <w:highlight w:val="none"/>
                <w14:textFill>
                  <w14:solidFill>
                    <w14:schemeClr w14:val="tx1"/>
                  </w14:solidFill>
                </w14:textFill>
              </w:rPr>
              <w:t>根据投标文件中售后服务承诺书内容的完整性、可行性，到达故障现场时间、故障出现解决方案、定期维护 (注明时间)、免费技术培训方案、免费保修期外维修方案等方面进行打分。</w:t>
            </w:r>
          </w:p>
          <w:p w14:paraId="52D9A8A1">
            <w:pPr>
              <w:spacing w:line="440" w:lineRule="exact"/>
              <w:rPr>
                <w:rFonts w:hint="eastAsia" w:ascii="宋体" w:hAnsi="宋体" w:eastAsia="宋体" w:cs="宋体"/>
                <w:bCs/>
                <w:color w:val="000000" w:themeColor="text1"/>
                <w:kern w:val="0"/>
                <w:sz w:val="21"/>
                <w:szCs w:val="21"/>
                <w:highlight w:val="none"/>
                <w14:textFill>
                  <w14:solidFill>
                    <w14:schemeClr w14:val="tx1"/>
                  </w14:solidFill>
                </w14:textFill>
              </w:rPr>
            </w:pPr>
            <w:r>
              <w:rPr>
                <w:rFonts w:hint="eastAsia" w:ascii="宋体" w:hAnsi="宋体" w:eastAsia="宋体" w:cs="宋体"/>
                <w:bCs/>
                <w:color w:val="000000" w:themeColor="text1"/>
                <w:kern w:val="0"/>
                <w:sz w:val="21"/>
                <w:szCs w:val="21"/>
                <w:highlight w:val="none"/>
                <w14:textFill>
                  <w14:solidFill>
                    <w14:schemeClr w14:val="tx1"/>
                  </w14:solidFill>
                </w14:textFill>
              </w:rPr>
              <w:t>优（3.6-5）分：售后服务承诺书内容完整、可行，到达故障现场时间、故障出现解决方案、定期维护 (注明时间)、免费技术培训方案、免费保修期外维修方案等招标文件服务要求方面优于招标文件要求，并针对本项目提出两条以上切实可行的、具有实际应用价值并经评委认可的其他售后服务承诺。</w:t>
            </w:r>
          </w:p>
          <w:p w14:paraId="59DC41D4">
            <w:pPr>
              <w:spacing w:line="440" w:lineRule="exact"/>
              <w:rPr>
                <w:rFonts w:hint="eastAsia" w:ascii="宋体" w:hAnsi="宋体" w:eastAsia="宋体" w:cs="宋体"/>
                <w:bCs/>
                <w:color w:val="000000" w:themeColor="text1"/>
                <w:kern w:val="0"/>
                <w:sz w:val="21"/>
                <w:szCs w:val="21"/>
                <w:highlight w:val="none"/>
                <w14:textFill>
                  <w14:solidFill>
                    <w14:schemeClr w14:val="tx1"/>
                  </w14:solidFill>
                </w14:textFill>
              </w:rPr>
            </w:pPr>
            <w:r>
              <w:rPr>
                <w:rFonts w:hint="eastAsia" w:ascii="宋体" w:hAnsi="宋体" w:eastAsia="宋体" w:cs="宋体"/>
                <w:bCs/>
                <w:color w:val="000000" w:themeColor="text1"/>
                <w:kern w:val="0"/>
                <w:sz w:val="21"/>
                <w:szCs w:val="21"/>
                <w:highlight w:val="none"/>
                <w14:textFill>
                  <w14:solidFill>
                    <w14:schemeClr w14:val="tx1"/>
                  </w14:solidFill>
                </w14:textFill>
              </w:rPr>
              <w:t>良（1.6-3.5）分：售后服务承诺书内容完整、可行，到达故障现场时间、故障出现解决方案、定期维护 (注明时间)、免费技术培训方案、免费保修期外维修方案等招标文件服务要求方面有优于招标文件要求的内容；</w:t>
            </w:r>
          </w:p>
          <w:p w14:paraId="4FCB7630">
            <w:pPr>
              <w:spacing w:line="440" w:lineRule="exact"/>
              <w:rPr>
                <w:rFonts w:hint="eastAsia" w:ascii="宋体" w:hAnsi="宋体" w:eastAsia="宋体" w:cs="宋体"/>
                <w:bCs/>
                <w:color w:val="000000" w:themeColor="text1"/>
                <w:kern w:val="0"/>
                <w:sz w:val="21"/>
                <w:szCs w:val="21"/>
                <w:highlight w:val="none"/>
                <w14:textFill>
                  <w14:solidFill>
                    <w14:schemeClr w14:val="tx1"/>
                  </w14:solidFill>
                </w14:textFill>
              </w:rPr>
            </w:pPr>
            <w:r>
              <w:rPr>
                <w:rFonts w:hint="eastAsia" w:ascii="宋体" w:hAnsi="宋体" w:eastAsia="宋体" w:cs="宋体"/>
                <w:bCs/>
                <w:color w:val="000000" w:themeColor="text1"/>
                <w:kern w:val="0"/>
                <w:sz w:val="21"/>
                <w:szCs w:val="21"/>
                <w:highlight w:val="none"/>
                <w14:textFill>
                  <w14:solidFill>
                    <w14:schemeClr w14:val="tx1"/>
                  </w14:solidFill>
                </w14:textFill>
              </w:rPr>
              <w:t>差（0-1.5）分：售后服务承诺书内容基本完整，到达故障现场时间、故障出现解决方案、定期维护 (注明时间)、免费技术培训方案、免费保修期外维修方案等招标文件服务要求方面基本满足；</w:t>
            </w:r>
          </w:p>
        </w:tc>
      </w:tr>
      <w:tr w14:paraId="59334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69" w:type="dxa"/>
            <w:vMerge w:val="continue"/>
            <w:tcBorders>
              <w:top w:val="nil"/>
              <w:left w:val="single" w:color="auto" w:sz="4" w:space="0"/>
              <w:bottom w:val="single" w:color="auto" w:sz="4" w:space="0"/>
              <w:right w:val="single" w:color="auto" w:sz="4" w:space="0"/>
            </w:tcBorders>
            <w:vAlign w:val="center"/>
          </w:tcPr>
          <w:p w14:paraId="789CB8D9">
            <w:pPr>
              <w:widowControl/>
              <w:rPr>
                <w:rFonts w:ascii="宋体" w:hAnsi="宋体"/>
                <w:bCs/>
                <w:color w:val="000000" w:themeColor="text1"/>
                <w:szCs w:val="21"/>
                <w:highlight w:val="none"/>
                <w14:textFill>
                  <w14:solidFill>
                    <w14:schemeClr w14:val="tx1"/>
                  </w14:solidFill>
                </w14:textFill>
              </w:rPr>
            </w:pPr>
          </w:p>
        </w:tc>
        <w:tc>
          <w:tcPr>
            <w:tcW w:w="1023" w:type="dxa"/>
            <w:vMerge w:val="continue"/>
            <w:tcBorders>
              <w:top w:val="nil"/>
              <w:left w:val="single" w:color="auto" w:sz="4" w:space="0"/>
              <w:bottom w:val="single" w:color="auto" w:sz="4" w:space="0"/>
              <w:right w:val="single" w:color="auto" w:sz="4" w:space="0"/>
            </w:tcBorders>
            <w:vAlign w:val="center"/>
          </w:tcPr>
          <w:p w14:paraId="327AD31F">
            <w:pPr>
              <w:widowControl/>
              <w:rPr>
                <w:rFonts w:hint="eastAsia" w:ascii="宋体" w:hAnsi="宋体" w:eastAsia="宋体" w:cs="宋体"/>
                <w:bCs/>
                <w:color w:val="000000" w:themeColor="text1"/>
                <w:spacing w:val="-18"/>
                <w:sz w:val="21"/>
                <w:szCs w:val="21"/>
                <w:highlight w:val="none"/>
                <w14:textFill>
                  <w14:solidFill>
                    <w14:schemeClr w14:val="tx1"/>
                  </w14:solidFill>
                </w14:textFill>
              </w:rPr>
            </w:pPr>
          </w:p>
        </w:tc>
        <w:tc>
          <w:tcPr>
            <w:tcW w:w="1324"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4316DA56">
            <w:pPr>
              <w:spacing w:line="440" w:lineRule="exact"/>
              <w:rPr>
                <w:rFonts w:hint="eastAsia" w:ascii="宋体" w:hAnsi="宋体" w:eastAsia="宋体" w:cs="宋体"/>
                <w:bCs/>
                <w:color w:val="000000" w:themeColor="text1"/>
                <w:kern w:val="0"/>
                <w:sz w:val="21"/>
                <w:szCs w:val="21"/>
                <w:highlight w:val="none"/>
                <w14:textFill>
                  <w14:solidFill>
                    <w14:schemeClr w14:val="tx1"/>
                  </w14:solidFill>
                </w14:textFill>
              </w:rPr>
            </w:pPr>
            <w:r>
              <w:rPr>
                <w:rFonts w:hint="eastAsia" w:ascii="宋体" w:hAnsi="宋体" w:eastAsia="宋体" w:cs="宋体"/>
                <w:bCs/>
                <w:color w:val="000000" w:themeColor="text1"/>
                <w:kern w:val="0"/>
                <w:sz w:val="21"/>
                <w:szCs w:val="21"/>
                <w:highlight w:val="none"/>
                <w14:textFill>
                  <w14:solidFill>
                    <w14:schemeClr w14:val="tx1"/>
                  </w14:solidFill>
                </w14:textFill>
              </w:rPr>
              <w:t>质保期延长（3分）</w:t>
            </w:r>
          </w:p>
        </w:tc>
        <w:tc>
          <w:tcPr>
            <w:tcW w:w="6477" w:type="dxa"/>
            <w:tcBorders>
              <w:top w:val="single" w:color="auto" w:sz="4" w:space="0"/>
              <w:left w:val="single" w:color="auto" w:sz="4" w:space="0"/>
              <w:bottom w:val="single" w:color="auto" w:sz="4" w:space="0"/>
              <w:right w:val="single" w:color="auto" w:sz="4" w:space="0"/>
            </w:tcBorders>
          </w:tcPr>
          <w:p w14:paraId="740C64B7">
            <w:pPr>
              <w:spacing w:line="440" w:lineRule="exact"/>
              <w:rPr>
                <w:rFonts w:hint="eastAsia" w:ascii="宋体" w:hAnsi="宋体" w:eastAsia="宋体" w:cs="宋体"/>
                <w:bCs/>
                <w:color w:val="000000" w:themeColor="text1"/>
                <w:kern w:val="0"/>
                <w:sz w:val="21"/>
                <w:szCs w:val="21"/>
                <w:highlight w:val="none"/>
                <w14:textFill>
                  <w14:solidFill>
                    <w14:schemeClr w14:val="tx1"/>
                  </w14:solidFill>
                </w14:textFill>
              </w:rPr>
            </w:pPr>
            <w:r>
              <w:rPr>
                <w:rFonts w:hint="eastAsia" w:ascii="宋体" w:hAnsi="宋体" w:eastAsia="宋体" w:cs="宋体"/>
                <w:bCs/>
                <w:color w:val="000000" w:themeColor="text1"/>
                <w:kern w:val="0"/>
                <w:sz w:val="21"/>
                <w:szCs w:val="21"/>
                <w:highlight w:val="none"/>
                <w14:textFill>
                  <w14:solidFill>
                    <w14:schemeClr w14:val="tx1"/>
                  </w14:solidFill>
                </w14:textFill>
              </w:rPr>
              <w:t xml:space="preserve">本项目整体质保期两年，每延长半年的，得0.5分，最高3分(以投标人出具的承诺函为准) </w:t>
            </w:r>
          </w:p>
        </w:tc>
      </w:tr>
      <w:tr w14:paraId="01141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569" w:type="dxa"/>
            <w:vMerge w:val="restart"/>
            <w:tcBorders>
              <w:top w:val="nil"/>
              <w:left w:val="single" w:color="auto" w:sz="4" w:space="0"/>
              <w:bottom w:val="single" w:color="auto" w:sz="4" w:space="0"/>
              <w:right w:val="single" w:color="auto" w:sz="4" w:space="0"/>
            </w:tcBorders>
            <w:vAlign w:val="center"/>
          </w:tcPr>
          <w:p w14:paraId="25FFFB78">
            <w:pPr>
              <w:adjustRightInd w:val="0"/>
              <w:spacing w:line="440" w:lineRule="exact"/>
              <w:jc w:val="center"/>
              <w:textAlignment w:val="baseline"/>
              <w:rPr>
                <w:rFonts w:hint="eastAsia" w:ascii="宋体" w:hAnsi="宋体" w:eastAsia="宋体"/>
                <w:bCs/>
                <w:color w:val="000000" w:themeColor="text1"/>
                <w:szCs w:val="21"/>
                <w:highlight w:val="none"/>
                <w:lang w:val="en-US" w:eastAsia="zh-CN"/>
                <w14:textFill>
                  <w14:solidFill>
                    <w14:schemeClr w14:val="tx1"/>
                  </w14:solidFill>
                </w14:textFill>
              </w:rPr>
            </w:pPr>
            <w:r>
              <w:rPr>
                <w:rFonts w:hint="eastAsia" w:ascii="宋体" w:hAnsi="宋体"/>
                <w:bCs/>
                <w:color w:val="000000" w:themeColor="text1"/>
                <w:szCs w:val="21"/>
                <w:highlight w:val="none"/>
                <w:lang w:val="en-US" w:eastAsia="zh-CN"/>
                <w14:textFill>
                  <w14:solidFill>
                    <w14:schemeClr w14:val="tx1"/>
                  </w14:solidFill>
                </w14:textFill>
              </w:rPr>
              <w:t>3</w:t>
            </w:r>
          </w:p>
        </w:tc>
        <w:tc>
          <w:tcPr>
            <w:tcW w:w="1023" w:type="dxa"/>
            <w:vMerge w:val="restart"/>
            <w:tcBorders>
              <w:top w:val="nil"/>
              <w:left w:val="single" w:color="auto" w:sz="4" w:space="0"/>
              <w:bottom w:val="single" w:color="auto" w:sz="4" w:space="0"/>
              <w:right w:val="single" w:color="auto" w:sz="4" w:space="0"/>
            </w:tcBorders>
            <w:vAlign w:val="center"/>
          </w:tcPr>
          <w:p w14:paraId="04D2448B">
            <w:pPr>
              <w:adjustRightInd w:val="0"/>
              <w:spacing w:line="440" w:lineRule="exact"/>
              <w:jc w:val="center"/>
              <w:textAlignment w:val="baseline"/>
              <w:rPr>
                <w:rFonts w:hint="eastAsia" w:ascii="宋体" w:hAnsi="宋体" w:eastAsia="宋体" w:cs="宋体"/>
                <w:color w:val="000000" w:themeColor="text1"/>
                <w:sz w:val="21"/>
                <w:szCs w:val="21"/>
                <w:highlight w:val="none"/>
                <w14:textFill>
                  <w14:solidFill>
                    <w14:schemeClr w14:val="tx1"/>
                  </w14:solidFill>
                </w14:textFill>
              </w:rPr>
            </w:pPr>
          </w:p>
          <w:p w14:paraId="39E34AC4">
            <w:pPr>
              <w:pStyle w:val="2"/>
              <w:ind w:firstLine="210"/>
              <w:rPr>
                <w:rFonts w:hint="eastAsia" w:ascii="宋体" w:hAnsi="宋体" w:eastAsia="宋体" w:cs="宋体"/>
                <w:bCs/>
                <w:color w:val="000000" w:themeColor="text1"/>
                <w:sz w:val="21"/>
                <w:szCs w:val="21"/>
                <w:highlight w:val="none"/>
                <w14:textFill>
                  <w14:solidFill>
                    <w14:schemeClr w14:val="tx1"/>
                  </w14:solidFill>
                </w14:textFill>
              </w:rPr>
            </w:pPr>
          </w:p>
          <w:p w14:paraId="11A0D08B">
            <w:pPr>
              <w:pStyle w:val="2"/>
              <w:ind w:firstLine="210"/>
              <w:rPr>
                <w:rFonts w:hint="eastAsia" w:ascii="宋体" w:hAnsi="宋体" w:eastAsia="宋体" w:cs="宋体"/>
                <w:bCs/>
                <w:color w:val="000000" w:themeColor="text1"/>
                <w:sz w:val="21"/>
                <w:szCs w:val="21"/>
                <w:highlight w:val="none"/>
                <w14:textFill>
                  <w14:solidFill>
                    <w14:schemeClr w14:val="tx1"/>
                  </w14:solidFill>
                </w14:textFill>
              </w:rPr>
            </w:pPr>
          </w:p>
          <w:p w14:paraId="6643516A">
            <w:pPr>
              <w:pStyle w:val="2"/>
              <w:ind w:firstLine="210"/>
              <w:rPr>
                <w:rFonts w:hint="eastAsia" w:ascii="宋体" w:hAnsi="宋体" w:eastAsia="宋体" w:cs="宋体"/>
                <w:bCs/>
                <w:color w:val="000000" w:themeColor="text1"/>
                <w:sz w:val="21"/>
                <w:szCs w:val="21"/>
                <w:highlight w:val="none"/>
                <w14:textFill>
                  <w14:solidFill>
                    <w14:schemeClr w14:val="tx1"/>
                  </w14:solidFill>
                </w14:textFill>
              </w:rPr>
            </w:pPr>
          </w:p>
          <w:p w14:paraId="2733CAEF">
            <w:pPr>
              <w:pStyle w:val="2"/>
              <w:ind w:firstLine="210"/>
              <w:rPr>
                <w:rFonts w:hint="eastAsia" w:ascii="宋体" w:hAnsi="宋体" w:eastAsia="宋体" w:cs="宋体"/>
                <w:bCs/>
                <w:color w:val="000000" w:themeColor="text1"/>
                <w:sz w:val="21"/>
                <w:szCs w:val="21"/>
                <w:highlight w:val="none"/>
                <w14:textFill>
                  <w14:solidFill>
                    <w14:schemeClr w14:val="tx1"/>
                  </w14:solidFill>
                </w14:textFill>
              </w:rPr>
            </w:pPr>
          </w:p>
          <w:p w14:paraId="5B30CDF6">
            <w:pPr>
              <w:pStyle w:val="2"/>
              <w:ind w:firstLine="0" w:firstLineChars="0"/>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商务分（满分</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8</w:t>
            </w:r>
            <w:r>
              <w:rPr>
                <w:rFonts w:hint="eastAsia" w:ascii="宋体" w:hAnsi="宋体" w:eastAsia="宋体" w:cs="宋体"/>
                <w:bCs/>
                <w:color w:val="000000" w:themeColor="text1"/>
                <w:sz w:val="21"/>
                <w:szCs w:val="21"/>
                <w:highlight w:val="none"/>
                <w14:textFill>
                  <w14:solidFill>
                    <w14:schemeClr w14:val="tx1"/>
                  </w14:solidFill>
                </w14:textFill>
              </w:rPr>
              <w:t>分）</w:t>
            </w:r>
          </w:p>
        </w:tc>
        <w:tc>
          <w:tcPr>
            <w:tcW w:w="1324"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7755035A">
            <w:pPr>
              <w:spacing w:line="440" w:lineRule="exact"/>
              <w:jc w:val="left"/>
              <w:rPr>
                <w:rFonts w:hint="eastAsia" w:ascii="宋体" w:hAnsi="宋体" w:eastAsia="宋体" w:cs="宋体"/>
                <w:bCs/>
                <w:color w:val="000000" w:themeColor="text1"/>
                <w:kern w:val="0"/>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业绩分（满分5分）</w:t>
            </w:r>
          </w:p>
        </w:tc>
        <w:tc>
          <w:tcPr>
            <w:tcW w:w="6477" w:type="dxa"/>
            <w:tcBorders>
              <w:top w:val="single" w:color="auto" w:sz="4" w:space="0"/>
              <w:left w:val="single" w:color="auto" w:sz="4" w:space="0"/>
              <w:bottom w:val="single" w:color="auto" w:sz="4" w:space="0"/>
              <w:right w:val="single" w:color="auto" w:sz="4" w:space="0"/>
            </w:tcBorders>
          </w:tcPr>
          <w:p w14:paraId="0B2D5CD2">
            <w:pPr>
              <w:pStyle w:val="6"/>
              <w:spacing w:line="440" w:lineRule="exact"/>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2019年1月1日以来投标人承接类似项目业绩，提供业绩合同或中标通知书的复印件，每1份得1分，满分5分；</w:t>
            </w:r>
          </w:p>
          <w:p w14:paraId="20FD0D50">
            <w:pPr>
              <w:pStyle w:val="6"/>
              <w:spacing w:line="440" w:lineRule="exact"/>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注：类似项目是指：</w:t>
            </w:r>
            <w:r>
              <w:rPr>
                <w:rFonts w:hint="eastAsia" w:hAnsi="宋体"/>
                <w:bCs/>
                <w:color w:val="000000" w:themeColor="text1"/>
                <w:sz w:val="21"/>
                <w14:textFill>
                  <w14:solidFill>
                    <w14:schemeClr w14:val="tx1"/>
                  </w14:solidFill>
                </w14:textFill>
              </w:rPr>
              <w:t>供应商单个合同额达500万元（含税）及以上的中央空调采购安装工程项目，</w:t>
            </w:r>
            <w:r>
              <w:rPr>
                <w:rFonts w:hint="eastAsia" w:hAnsi="宋体"/>
                <w:bCs/>
                <w:color w:val="000000" w:themeColor="text1"/>
                <w:sz w:val="21"/>
                <w:lang w:eastAsia="zh-CN"/>
                <w14:textFill>
                  <w14:solidFill>
                    <w14:schemeClr w14:val="tx1"/>
                  </w14:solidFill>
                </w14:textFill>
              </w:rPr>
              <w:t>每个得</w:t>
            </w:r>
            <w:r>
              <w:rPr>
                <w:rFonts w:hint="eastAsia" w:hAnsi="宋体"/>
                <w:bCs/>
                <w:color w:val="000000" w:themeColor="text1"/>
                <w:sz w:val="21"/>
                <w:lang w:val="en-US" w:eastAsia="zh-CN"/>
                <w14:textFill>
                  <w14:solidFill>
                    <w14:schemeClr w14:val="tx1"/>
                  </w14:solidFill>
                </w14:textFill>
              </w:rPr>
              <w:t>1分，</w:t>
            </w:r>
            <w:r>
              <w:rPr>
                <w:rFonts w:hint="eastAsia" w:hAnsi="宋体"/>
                <w:bCs/>
                <w:color w:val="000000" w:themeColor="text1"/>
                <w:sz w:val="21"/>
                <w14:textFill>
                  <w14:solidFill>
                    <w14:schemeClr w14:val="tx1"/>
                  </w14:solidFill>
                </w14:textFill>
              </w:rPr>
              <w:t>供应商单个合同额</w:t>
            </w:r>
            <w:r>
              <w:rPr>
                <w:rFonts w:hint="eastAsia" w:hAnsi="宋体"/>
                <w:bCs/>
                <w:color w:val="000000" w:themeColor="text1"/>
                <w:sz w:val="21"/>
                <w:lang w:val="en-US" w:eastAsia="zh-CN"/>
                <w14:textFill>
                  <w14:solidFill>
                    <w14:schemeClr w14:val="tx1"/>
                  </w14:solidFill>
                </w14:textFill>
              </w:rPr>
              <w:t>300-</w:t>
            </w:r>
            <w:r>
              <w:rPr>
                <w:rFonts w:hint="eastAsia" w:hAnsi="宋体"/>
                <w:bCs/>
                <w:color w:val="000000" w:themeColor="text1"/>
                <w:sz w:val="21"/>
                <w14:textFill>
                  <w14:solidFill>
                    <w14:schemeClr w14:val="tx1"/>
                  </w14:solidFill>
                </w14:textFill>
              </w:rPr>
              <w:t>500万元（含税）的中央空调采购安装工程项目，</w:t>
            </w:r>
            <w:r>
              <w:rPr>
                <w:rFonts w:hint="eastAsia" w:hAnsi="宋体"/>
                <w:bCs/>
                <w:color w:val="000000" w:themeColor="text1"/>
                <w:sz w:val="21"/>
                <w:lang w:eastAsia="zh-CN"/>
                <w14:textFill>
                  <w14:solidFill>
                    <w14:schemeClr w14:val="tx1"/>
                  </w14:solidFill>
                </w14:textFill>
              </w:rPr>
              <w:t>每个得</w:t>
            </w:r>
            <w:r>
              <w:rPr>
                <w:rFonts w:hint="eastAsia" w:hAnsi="宋体"/>
                <w:bCs/>
                <w:color w:val="000000" w:themeColor="text1"/>
                <w:sz w:val="21"/>
                <w:lang w:val="en-US" w:eastAsia="zh-CN"/>
                <w14:textFill>
                  <w14:solidFill>
                    <w14:schemeClr w14:val="tx1"/>
                  </w14:solidFill>
                </w14:textFill>
              </w:rPr>
              <w:t>0.5分，时间为</w:t>
            </w:r>
            <w:r>
              <w:rPr>
                <w:rFonts w:hint="eastAsia" w:hAnsi="宋体"/>
                <w:bCs/>
                <w:color w:val="000000" w:themeColor="text1"/>
                <w:sz w:val="21"/>
                <w14:textFill>
                  <w14:solidFill>
                    <w14:schemeClr w14:val="tx1"/>
                  </w14:solidFill>
                </w14:textFill>
              </w:rPr>
              <w:t>2019年1月1日至提交投标文件截止时间止。</w:t>
            </w:r>
          </w:p>
        </w:tc>
      </w:tr>
      <w:tr w14:paraId="07E00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8" w:hRule="atLeast"/>
        </w:trPr>
        <w:tc>
          <w:tcPr>
            <w:tcW w:w="569" w:type="dxa"/>
            <w:vMerge w:val="continue"/>
            <w:tcBorders>
              <w:top w:val="nil"/>
              <w:left w:val="single" w:color="auto" w:sz="4" w:space="0"/>
              <w:bottom w:val="single" w:color="auto" w:sz="4" w:space="0"/>
              <w:right w:val="single" w:color="auto" w:sz="4" w:space="0"/>
            </w:tcBorders>
            <w:vAlign w:val="center"/>
          </w:tcPr>
          <w:p w14:paraId="3AC4DA36">
            <w:pPr>
              <w:widowControl/>
              <w:rPr>
                <w:rFonts w:ascii="宋体" w:hAnsi="宋体"/>
                <w:bCs/>
                <w:color w:val="000000" w:themeColor="text1"/>
                <w:szCs w:val="21"/>
                <w:highlight w:val="none"/>
                <w14:textFill>
                  <w14:solidFill>
                    <w14:schemeClr w14:val="tx1"/>
                  </w14:solidFill>
                </w14:textFill>
              </w:rPr>
            </w:pPr>
          </w:p>
        </w:tc>
        <w:tc>
          <w:tcPr>
            <w:tcW w:w="1023" w:type="dxa"/>
            <w:vMerge w:val="continue"/>
            <w:tcBorders>
              <w:top w:val="nil"/>
              <w:left w:val="single" w:color="auto" w:sz="4" w:space="0"/>
              <w:bottom w:val="single" w:color="auto" w:sz="4" w:space="0"/>
              <w:right w:val="single" w:color="auto" w:sz="4" w:space="0"/>
            </w:tcBorders>
            <w:vAlign w:val="center"/>
          </w:tcPr>
          <w:p w14:paraId="268948FE">
            <w:pPr>
              <w:widowControl/>
              <w:rPr>
                <w:rFonts w:hint="eastAsia" w:ascii="宋体" w:hAnsi="宋体" w:eastAsia="宋体" w:cs="宋体"/>
                <w:bCs/>
                <w:color w:val="000000" w:themeColor="text1"/>
                <w:sz w:val="21"/>
                <w:szCs w:val="21"/>
                <w:highlight w:val="none"/>
                <w14:textFill>
                  <w14:solidFill>
                    <w14:schemeClr w14:val="tx1"/>
                  </w14:solidFill>
                </w14:textFill>
              </w:rPr>
            </w:pPr>
          </w:p>
        </w:tc>
        <w:tc>
          <w:tcPr>
            <w:tcW w:w="1324"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3A7D0681">
            <w:pPr>
              <w:spacing w:line="440" w:lineRule="exact"/>
              <w:jc w:val="center"/>
              <w:rPr>
                <w:rFonts w:hint="eastAsia" w:ascii="宋体" w:hAnsi="宋体" w:eastAsia="宋体" w:cs="宋体"/>
                <w:bCs/>
                <w:color w:val="000000" w:themeColor="text1"/>
                <w:kern w:val="0"/>
                <w:sz w:val="21"/>
                <w:szCs w:val="21"/>
                <w:highlight w:val="none"/>
                <w14:textFill>
                  <w14:solidFill>
                    <w14:schemeClr w14:val="tx1"/>
                  </w14:solidFill>
                </w14:textFill>
              </w:rPr>
            </w:pPr>
            <w:r>
              <w:rPr>
                <w:rFonts w:hint="eastAsia" w:ascii="宋体" w:hAnsi="宋体" w:eastAsia="宋体" w:cs="宋体"/>
                <w:bCs/>
                <w:color w:val="000000" w:themeColor="text1"/>
                <w:kern w:val="0"/>
                <w:sz w:val="21"/>
                <w:szCs w:val="21"/>
                <w:highlight w:val="none"/>
                <w14:textFill>
                  <w14:solidFill>
                    <w14:schemeClr w14:val="tx1"/>
                  </w14:solidFill>
                </w14:textFill>
              </w:rPr>
              <w:t>综合实力</w:t>
            </w:r>
            <w:r>
              <w:rPr>
                <w:rFonts w:hint="eastAsia" w:ascii="宋体" w:hAnsi="宋体" w:eastAsia="宋体" w:cs="宋体"/>
                <w:bCs/>
                <w:color w:val="000000" w:themeColor="text1"/>
                <w:sz w:val="21"/>
                <w:szCs w:val="21"/>
                <w:highlight w:val="none"/>
                <w14:textFill>
                  <w14:solidFill>
                    <w14:schemeClr w14:val="tx1"/>
                  </w14:solidFill>
                </w14:textFill>
              </w:rPr>
              <w:t>（满分3分）</w:t>
            </w:r>
          </w:p>
        </w:tc>
        <w:tc>
          <w:tcPr>
            <w:tcW w:w="6477" w:type="dxa"/>
            <w:tcBorders>
              <w:top w:val="single" w:color="auto" w:sz="4" w:space="0"/>
              <w:left w:val="single" w:color="auto" w:sz="4" w:space="0"/>
              <w:bottom w:val="single" w:color="auto" w:sz="4" w:space="0"/>
              <w:right w:val="single" w:color="auto" w:sz="4" w:space="0"/>
            </w:tcBorders>
          </w:tcPr>
          <w:p w14:paraId="19969E52">
            <w:pPr>
              <w:spacing w:line="400" w:lineRule="exact"/>
              <w:rPr>
                <w:rFonts w:hint="eastAsia" w:ascii="宋体" w:hAnsi="宋体" w:eastAsia="宋体" w:cs="宋体"/>
                <w:bCs/>
                <w:color w:val="000000" w:themeColor="text1"/>
                <w:kern w:val="0"/>
                <w:sz w:val="21"/>
                <w:szCs w:val="21"/>
                <w:highlight w:val="none"/>
                <w14:textFill>
                  <w14:solidFill>
                    <w14:schemeClr w14:val="tx1"/>
                  </w14:solidFill>
                </w14:textFill>
              </w:rPr>
            </w:pPr>
            <w:r>
              <w:rPr>
                <w:rFonts w:hint="eastAsia" w:ascii="宋体" w:hAnsi="宋体" w:eastAsia="宋体" w:cs="宋体"/>
                <w:bCs/>
                <w:color w:val="000000" w:themeColor="text1"/>
                <w:kern w:val="0"/>
                <w:sz w:val="21"/>
                <w:szCs w:val="21"/>
                <w:highlight w:val="none"/>
                <w14:textFill>
                  <w14:solidFill>
                    <w14:schemeClr w14:val="tx1"/>
                  </w14:solidFill>
                </w14:textFill>
              </w:rPr>
              <w:t>1.投标人获得ISO9001质量管理体系认证证书、ISO14001环境管理体系认证证书、ISO45001职业健康认证证书的，每个得0.5分，最高得1分。（须提供有效证明文件材料）</w:t>
            </w:r>
          </w:p>
          <w:p w14:paraId="6A8C0D0E">
            <w:pPr>
              <w:pStyle w:val="6"/>
              <w:spacing w:line="400" w:lineRule="exact"/>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2.投标人具备机电工程施工总承包二级或以上资质，或建筑机电安装工程专业承包二级或以上资质的，得1分。（须提供有效证明文件材料）</w:t>
            </w:r>
          </w:p>
          <w:p w14:paraId="6812F613">
            <w:pPr>
              <w:pStyle w:val="2"/>
              <w:spacing w:line="400" w:lineRule="exact"/>
              <w:ind w:firstLine="0" w:firstLineChars="0"/>
              <w:rPr>
                <w:rFonts w:hint="eastAsia" w:ascii="宋体" w:hAnsi="宋体" w:eastAsia="宋体" w:cs="宋体"/>
                <w:bCs/>
                <w:color w:val="000000" w:themeColor="text1"/>
                <w:kern w:val="0"/>
                <w:sz w:val="21"/>
                <w:szCs w:val="21"/>
                <w:highlight w:val="none"/>
                <w14:textFill>
                  <w14:solidFill>
                    <w14:schemeClr w14:val="tx1"/>
                  </w14:solidFill>
                </w14:textFill>
              </w:rPr>
            </w:pPr>
            <w:r>
              <w:rPr>
                <w:rFonts w:hint="eastAsia" w:ascii="宋体" w:hAnsi="宋体" w:eastAsia="宋体" w:cs="宋体"/>
                <w:bCs/>
                <w:color w:val="000000" w:themeColor="text1"/>
                <w:kern w:val="0"/>
                <w:sz w:val="21"/>
                <w:szCs w:val="21"/>
                <w:highlight w:val="none"/>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 xml:space="preserve"> </w:t>
            </w:r>
            <w:r>
              <w:rPr>
                <w:rFonts w:hint="eastAsia" w:ascii="宋体" w:hAnsi="宋体" w:eastAsia="宋体" w:cs="宋体"/>
                <w:bCs/>
                <w:color w:val="000000" w:themeColor="text1"/>
                <w:kern w:val="0"/>
                <w:sz w:val="21"/>
                <w:szCs w:val="21"/>
                <w:highlight w:val="none"/>
                <w14:textFill>
                  <w14:solidFill>
                    <w14:schemeClr w14:val="tx1"/>
                  </w14:solidFill>
                </w14:textFill>
              </w:rPr>
              <w:t>根据投标人2021-2023年度审计报告中的营业收入平均值进行评分，将营业收入按由高至低顺序进行排序，排名第一的得1分、第二的得0.7分、第三的得0.4分、第四名及以后不得分。备注：提供经会计师事务所审计的2021-2023年度财务审计报告，没有提供的不得分。</w:t>
            </w:r>
          </w:p>
        </w:tc>
      </w:tr>
      <w:tr w14:paraId="04830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trPr>
        <w:tc>
          <w:tcPr>
            <w:tcW w:w="9393" w:type="dxa"/>
            <w:gridSpan w:val="4"/>
            <w:tcBorders>
              <w:top w:val="single" w:color="auto" w:sz="4" w:space="0"/>
              <w:left w:val="single" w:color="auto" w:sz="4" w:space="0"/>
              <w:bottom w:val="single" w:color="auto" w:sz="4" w:space="0"/>
              <w:right w:val="single" w:color="auto" w:sz="4" w:space="0"/>
            </w:tcBorders>
          </w:tcPr>
          <w:p w14:paraId="0ED8B3A0">
            <w:pPr>
              <w:pStyle w:val="6"/>
              <w:spacing w:line="440" w:lineRule="exact"/>
              <w:rPr>
                <w:rFonts w:hAnsi="宋体"/>
                <w:bCs/>
                <w:color w:val="000000" w:themeColor="text1"/>
                <w:kern w:val="2"/>
                <w:sz w:val="21"/>
                <w:highlight w:val="none"/>
                <w14:textFill>
                  <w14:solidFill>
                    <w14:schemeClr w14:val="tx1"/>
                  </w14:solidFill>
                </w14:textFill>
              </w:rPr>
            </w:pPr>
            <w:r>
              <w:rPr>
                <w:rFonts w:hint="eastAsia" w:hAnsi="宋体"/>
                <w:b/>
                <w:bCs/>
                <w:color w:val="000000" w:themeColor="text1"/>
                <w:kern w:val="2"/>
                <w:sz w:val="21"/>
                <w:highlight w:val="none"/>
                <w14:textFill>
                  <w14:solidFill>
                    <w14:schemeClr w14:val="tx1"/>
                  </w14:solidFill>
                </w14:textFill>
              </w:rPr>
              <w:t>总得分=1+2+3=100</w:t>
            </w:r>
          </w:p>
        </w:tc>
      </w:tr>
    </w:tbl>
    <w:p w14:paraId="38F378C0">
      <w:pPr>
        <w:pStyle w:val="5"/>
        <w:keepNext/>
        <w:keepLines/>
        <w:pageBreakBefore w:val="0"/>
        <w:widowControl w:val="0"/>
        <w:kinsoku/>
        <w:wordWrap/>
        <w:overflowPunct/>
        <w:topLinePunct w:val="0"/>
        <w:autoSpaceDE/>
        <w:autoSpaceDN/>
        <w:bidi w:val="0"/>
        <w:adjustRightInd/>
        <w:snapToGrid/>
        <w:spacing w:before="0" w:after="0" w:line="360" w:lineRule="auto"/>
        <w:jc w:val="both"/>
        <w:textAlignment w:val="auto"/>
        <w:rPr>
          <w:rFonts w:hint="eastAsia" w:ascii="仿宋" w:hAnsi="仿宋" w:cs="仿宋"/>
          <w:b/>
          <w:bCs/>
          <w:color w:val="000000" w:themeColor="text1"/>
          <w:sz w:val="24"/>
          <w:szCs w:val="24"/>
          <w:highlight w:val="none"/>
          <w:lang w:eastAsia="zh-CN"/>
          <w14:textFill>
            <w14:solidFill>
              <w14:schemeClr w14:val="tx1"/>
            </w14:solidFill>
          </w14:textFill>
        </w:rPr>
      </w:pPr>
    </w:p>
    <w:p w14:paraId="00C5153F">
      <w:pPr>
        <w:pStyle w:val="5"/>
        <w:keepNext/>
        <w:keepLines/>
        <w:pageBreakBefore w:val="0"/>
        <w:widowControl w:val="0"/>
        <w:kinsoku/>
        <w:wordWrap/>
        <w:overflowPunct/>
        <w:topLinePunct w:val="0"/>
        <w:autoSpaceDE/>
        <w:autoSpaceDN/>
        <w:bidi w:val="0"/>
        <w:adjustRightInd/>
        <w:snapToGrid/>
        <w:spacing w:before="0" w:after="0" w:line="360" w:lineRule="auto"/>
        <w:jc w:val="both"/>
        <w:textAlignment w:val="auto"/>
        <w:rPr>
          <w:rFonts w:hint="eastAsia" w:ascii="仿宋" w:hAnsi="仿宋" w:cs="仿宋"/>
          <w:b/>
          <w:bCs/>
          <w:color w:val="000000" w:themeColor="text1"/>
          <w:sz w:val="24"/>
          <w:szCs w:val="24"/>
          <w:highlight w:val="none"/>
          <w:lang w:eastAsia="zh-CN"/>
          <w14:textFill>
            <w14:solidFill>
              <w14:schemeClr w14:val="tx1"/>
            </w14:solidFill>
          </w14:textFill>
        </w:rPr>
      </w:pPr>
      <w:r>
        <w:rPr>
          <w:rFonts w:hint="eastAsia" w:ascii="仿宋" w:hAnsi="仿宋" w:cs="仿宋"/>
          <w:b/>
          <w:bCs/>
          <w:color w:val="000000" w:themeColor="text1"/>
          <w:sz w:val="24"/>
          <w:szCs w:val="24"/>
          <w:highlight w:val="none"/>
          <w:lang w:eastAsia="zh-CN"/>
          <w14:textFill>
            <w14:solidFill>
              <w14:schemeClr w14:val="tx1"/>
            </w14:solidFill>
          </w14:textFill>
        </w:rPr>
        <w:t>附件</w:t>
      </w:r>
      <w:r>
        <w:rPr>
          <w:rFonts w:hint="eastAsia" w:ascii="仿宋" w:hAnsi="仿宋" w:cs="仿宋"/>
          <w:b/>
          <w:bCs/>
          <w:color w:val="000000" w:themeColor="text1"/>
          <w:sz w:val="24"/>
          <w:szCs w:val="24"/>
          <w:highlight w:val="none"/>
          <w:lang w:val="en-US" w:eastAsia="zh-CN"/>
          <w14:textFill>
            <w14:solidFill>
              <w14:schemeClr w14:val="tx1"/>
            </w14:solidFill>
          </w14:textFill>
        </w:rPr>
        <w:t>2</w:t>
      </w:r>
      <w:r>
        <w:rPr>
          <w:rFonts w:hint="eastAsia" w:ascii="仿宋" w:hAnsi="仿宋" w:cs="仿宋"/>
          <w:b/>
          <w:bCs/>
          <w:color w:val="000000" w:themeColor="text1"/>
          <w:sz w:val="24"/>
          <w:szCs w:val="24"/>
          <w:highlight w:val="none"/>
          <w:lang w:eastAsia="zh-CN"/>
          <w14:textFill>
            <w14:solidFill>
              <w14:schemeClr w14:val="tx1"/>
            </w14:solidFill>
          </w14:textFill>
        </w:rPr>
        <w:t>：</w:t>
      </w:r>
    </w:p>
    <w:tbl>
      <w:tblPr>
        <w:tblStyle w:val="7"/>
        <w:tblW w:w="725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96"/>
        <w:gridCol w:w="1972"/>
        <w:gridCol w:w="968"/>
        <w:gridCol w:w="2250"/>
        <w:gridCol w:w="1364"/>
      </w:tblGrid>
      <w:tr w14:paraId="66B312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72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C1AFD">
            <w:pPr>
              <w:keepNext w:val="0"/>
              <w:keepLines w:val="0"/>
              <w:widowControl/>
              <w:suppressLineNumbers w:val="0"/>
              <w:jc w:val="center"/>
              <w:textAlignment w:val="center"/>
              <w:rPr>
                <w:rFonts w:hint="eastAsia" w:ascii="仿宋" w:hAnsi="仿宋" w:eastAsia="仿宋" w:cs="仿宋"/>
                <w:b/>
                <w:bCs/>
                <w:i w:val="0"/>
                <w:iCs w:val="0"/>
                <w:color w:val="000000" w:themeColor="text1"/>
                <w:sz w:val="24"/>
                <w:szCs w:val="24"/>
                <w:highlight w:val="none"/>
                <w:u w:val="none"/>
                <w14:textFill>
                  <w14:solidFill>
                    <w14:schemeClr w14:val="tx1"/>
                  </w14:solidFill>
                </w14:textFill>
              </w:rPr>
            </w:pPr>
            <w:r>
              <w:rPr>
                <w:rFonts w:hint="eastAsia" w:ascii="仿宋" w:hAnsi="仿宋" w:eastAsia="仿宋" w:cs="仿宋"/>
                <w:b/>
                <w:bCs/>
                <w:i w:val="0"/>
                <w:iCs w:val="0"/>
                <w:color w:val="000000" w:themeColor="text1"/>
                <w:kern w:val="0"/>
                <w:sz w:val="24"/>
                <w:szCs w:val="24"/>
                <w:highlight w:val="none"/>
                <w:u w:val="none"/>
                <w:lang w:val="en-US" w:eastAsia="zh-CN" w:bidi="ar"/>
                <w14:textFill>
                  <w14:solidFill>
                    <w14:schemeClr w14:val="tx1"/>
                  </w14:solidFill>
                </w14:textFill>
              </w:rPr>
              <w:t>主机能效评分对应表</w:t>
            </w:r>
          </w:p>
        </w:tc>
      </w:tr>
      <w:tr w14:paraId="106EB3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08DB0">
            <w:pPr>
              <w:keepNext w:val="0"/>
              <w:keepLines w:val="0"/>
              <w:widowControl/>
              <w:suppressLineNumbers w:val="0"/>
              <w:jc w:val="center"/>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序号</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99725">
            <w:pPr>
              <w:keepNext w:val="0"/>
              <w:keepLines w:val="0"/>
              <w:widowControl/>
              <w:suppressLineNumbers w:val="0"/>
              <w:jc w:val="center"/>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定频机组COP</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BB08E">
            <w:pPr>
              <w:keepNext w:val="0"/>
              <w:keepLines w:val="0"/>
              <w:widowControl/>
              <w:suppressLineNumbers w:val="0"/>
              <w:jc w:val="center"/>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得分</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EB2AA">
            <w:pPr>
              <w:keepNext w:val="0"/>
              <w:keepLines w:val="0"/>
              <w:widowControl/>
              <w:suppressLineNumbers w:val="0"/>
              <w:jc w:val="center"/>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变频机组IPLV（GB19577-2015）</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85AC6">
            <w:pPr>
              <w:keepNext w:val="0"/>
              <w:keepLines w:val="0"/>
              <w:widowControl/>
              <w:suppressLineNumbers w:val="0"/>
              <w:jc w:val="center"/>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2"/>
                <w:szCs w:val="22"/>
                <w:highlight w:val="none"/>
                <w:u w:val="none"/>
                <w:lang w:val="en-US" w:eastAsia="zh-CN" w:bidi="ar"/>
                <w14:textFill>
                  <w14:solidFill>
                    <w14:schemeClr w14:val="tx1"/>
                  </w14:solidFill>
                </w14:textFill>
              </w:rPr>
              <w:t>得分</w:t>
            </w:r>
          </w:p>
        </w:tc>
      </w:tr>
      <w:tr w14:paraId="5E38AA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5E632">
            <w:pPr>
              <w:keepNext w:val="0"/>
              <w:keepLines w:val="0"/>
              <w:widowControl/>
              <w:suppressLineNumbers w:val="0"/>
              <w:jc w:val="center"/>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A221E">
            <w:pPr>
              <w:keepNext w:val="0"/>
              <w:keepLines w:val="0"/>
              <w:widowControl/>
              <w:suppressLineNumbers w:val="0"/>
              <w:jc w:val="right"/>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6.3</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FD63C">
            <w:pPr>
              <w:keepNext w:val="0"/>
              <w:keepLines w:val="0"/>
              <w:widowControl/>
              <w:suppressLineNumbers w:val="0"/>
              <w:jc w:val="right"/>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0</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E23BB">
            <w:pPr>
              <w:keepNext w:val="0"/>
              <w:keepLines w:val="0"/>
              <w:widowControl/>
              <w:suppressLineNumbers w:val="0"/>
              <w:jc w:val="right"/>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8.1</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C765A">
            <w:pPr>
              <w:keepNext w:val="0"/>
              <w:keepLines w:val="0"/>
              <w:widowControl/>
              <w:suppressLineNumbers w:val="0"/>
              <w:jc w:val="right"/>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0</w:t>
            </w:r>
          </w:p>
        </w:tc>
      </w:tr>
      <w:tr w14:paraId="19CDCB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D84E6">
            <w:pPr>
              <w:keepNext w:val="0"/>
              <w:keepLines w:val="0"/>
              <w:widowControl/>
              <w:suppressLineNumbers w:val="0"/>
              <w:jc w:val="center"/>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CFC50">
            <w:pPr>
              <w:keepNext w:val="0"/>
              <w:keepLines w:val="0"/>
              <w:widowControl/>
              <w:suppressLineNumbers w:val="0"/>
              <w:jc w:val="right"/>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6.3126</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640FD">
            <w:pPr>
              <w:keepNext w:val="0"/>
              <w:keepLines w:val="0"/>
              <w:widowControl/>
              <w:suppressLineNumbers w:val="0"/>
              <w:jc w:val="right"/>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0.25</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6DE0F">
            <w:pPr>
              <w:keepNext w:val="0"/>
              <w:keepLines w:val="0"/>
              <w:widowControl/>
              <w:suppressLineNumbers w:val="0"/>
              <w:jc w:val="right"/>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8.181</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4649F">
            <w:pPr>
              <w:keepNext w:val="0"/>
              <w:keepLines w:val="0"/>
              <w:widowControl/>
              <w:suppressLineNumbers w:val="0"/>
              <w:jc w:val="right"/>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0.25</w:t>
            </w:r>
          </w:p>
        </w:tc>
      </w:tr>
      <w:tr w14:paraId="0DB82C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F3798">
            <w:pPr>
              <w:keepNext w:val="0"/>
              <w:keepLines w:val="0"/>
              <w:widowControl/>
              <w:suppressLineNumbers w:val="0"/>
              <w:jc w:val="center"/>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2FC7C">
            <w:pPr>
              <w:keepNext w:val="0"/>
              <w:keepLines w:val="0"/>
              <w:widowControl/>
              <w:suppressLineNumbers w:val="0"/>
              <w:jc w:val="right"/>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6.3252</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88CAB">
            <w:pPr>
              <w:keepNext w:val="0"/>
              <w:keepLines w:val="0"/>
              <w:widowControl/>
              <w:suppressLineNumbers w:val="0"/>
              <w:jc w:val="right"/>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0.5</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941E4">
            <w:pPr>
              <w:keepNext w:val="0"/>
              <w:keepLines w:val="0"/>
              <w:widowControl/>
              <w:suppressLineNumbers w:val="0"/>
              <w:jc w:val="right"/>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8.262</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BB98E">
            <w:pPr>
              <w:keepNext w:val="0"/>
              <w:keepLines w:val="0"/>
              <w:widowControl/>
              <w:suppressLineNumbers w:val="0"/>
              <w:jc w:val="right"/>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0.5</w:t>
            </w:r>
          </w:p>
        </w:tc>
      </w:tr>
      <w:tr w14:paraId="703D61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59F61">
            <w:pPr>
              <w:keepNext w:val="0"/>
              <w:keepLines w:val="0"/>
              <w:widowControl/>
              <w:suppressLineNumbers w:val="0"/>
              <w:jc w:val="center"/>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4</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1FFC8">
            <w:pPr>
              <w:keepNext w:val="0"/>
              <w:keepLines w:val="0"/>
              <w:widowControl/>
              <w:suppressLineNumbers w:val="0"/>
              <w:jc w:val="right"/>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6.3378</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3AA14">
            <w:pPr>
              <w:keepNext w:val="0"/>
              <w:keepLines w:val="0"/>
              <w:widowControl/>
              <w:suppressLineNumbers w:val="0"/>
              <w:jc w:val="right"/>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0.75</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F3D0E">
            <w:pPr>
              <w:keepNext w:val="0"/>
              <w:keepLines w:val="0"/>
              <w:widowControl/>
              <w:suppressLineNumbers w:val="0"/>
              <w:jc w:val="right"/>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8.343</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1E8DD">
            <w:pPr>
              <w:keepNext w:val="0"/>
              <w:keepLines w:val="0"/>
              <w:widowControl/>
              <w:suppressLineNumbers w:val="0"/>
              <w:jc w:val="right"/>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0.75</w:t>
            </w:r>
          </w:p>
        </w:tc>
      </w:tr>
      <w:tr w14:paraId="4D291F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13577">
            <w:pPr>
              <w:keepNext w:val="0"/>
              <w:keepLines w:val="0"/>
              <w:widowControl/>
              <w:suppressLineNumbers w:val="0"/>
              <w:jc w:val="center"/>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5</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B7D0D">
            <w:pPr>
              <w:keepNext w:val="0"/>
              <w:keepLines w:val="0"/>
              <w:widowControl/>
              <w:suppressLineNumbers w:val="0"/>
              <w:jc w:val="right"/>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6.3504</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341F1">
            <w:pPr>
              <w:keepNext w:val="0"/>
              <w:keepLines w:val="0"/>
              <w:widowControl/>
              <w:suppressLineNumbers w:val="0"/>
              <w:jc w:val="right"/>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25337">
            <w:pPr>
              <w:keepNext w:val="0"/>
              <w:keepLines w:val="0"/>
              <w:widowControl/>
              <w:suppressLineNumbers w:val="0"/>
              <w:jc w:val="right"/>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8.424</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6F642">
            <w:pPr>
              <w:keepNext w:val="0"/>
              <w:keepLines w:val="0"/>
              <w:widowControl/>
              <w:suppressLineNumbers w:val="0"/>
              <w:jc w:val="right"/>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w:t>
            </w:r>
          </w:p>
        </w:tc>
      </w:tr>
      <w:tr w14:paraId="334530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94502">
            <w:pPr>
              <w:keepNext w:val="0"/>
              <w:keepLines w:val="0"/>
              <w:widowControl/>
              <w:suppressLineNumbers w:val="0"/>
              <w:jc w:val="center"/>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6</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6C26C">
            <w:pPr>
              <w:keepNext w:val="0"/>
              <w:keepLines w:val="0"/>
              <w:widowControl/>
              <w:suppressLineNumbers w:val="0"/>
              <w:jc w:val="right"/>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6.363</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2ACBD">
            <w:pPr>
              <w:keepNext w:val="0"/>
              <w:keepLines w:val="0"/>
              <w:widowControl/>
              <w:suppressLineNumbers w:val="0"/>
              <w:jc w:val="right"/>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1.25</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4E2F5">
            <w:pPr>
              <w:keepNext w:val="0"/>
              <w:keepLines w:val="0"/>
              <w:widowControl/>
              <w:suppressLineNumbers w:val="0"/>
              <w:jc w:val="right"/>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8.505</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4F1CD">
            <w:pPr>
              <w:keepNext w:val="0"/>
              <w:keepLines w:val="0"/>
              <w:widowControl/>
              <w:suppressLineNumbers w:val="0"/>
              <w:jc w:val="right"/>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1.25</w:t>
            </w:r>
          </w:p>
        </w:tc>
      </w:tr>
      <w:tr w14:paraId="315021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5FD5A">
            <w:pPr>
              <w:keepNext w:val="0"/>
              <w:keepLines w:val="0"/>
              <w:widowControl/>
              <w:suppressLineNumbers w:val="0"/>
              <w:jc w:val="center"/>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7</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3036E">
            <w:pPr>
              <w:keepNext w:val="0"/>
              <w:keepLines w:val="0"/>
              <w:widowControl/>
              <w:suppressLineNumbers w:val="0"/>
              <w:jc w:val="right"/>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6.3756</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B052F">
            <w:pPr>
              <w:keepNext w:val="0"/>
              <w:keepLines w:val="0"/>
              <w:widowControl/>
              <w:suppressLineNumbers w:val="0"/>
              <w:jc w:val="right"/>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1.5</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E99CD">
            <w:pPr>
              <w:keepNext w:val="0"/>
              <w:keepLines w:val="0"/>
              <w:widowControl/>
              <w:suppressLineNumbers w:val="0"/>
              <w:jc w:val="right"/>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8.586</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52EBD">
            <w:pPr>
              <w:keepNext w:val="0"/>
              <w:keepLines w:val="0"/>
              <w:widowControl/>
              <w:suppressLineNumbers w:val="0"/>
              <w:jc w:val="right"/>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1.5</w:t>
            </w:r>
          </w:p>
        </w:tc>
      </w:tr>
      <w:tr w14:paraId="3D03E9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1B71D">
            <w:pPr>
              <w:keepNext w:val="0"/>
              <w:keepLines w:val="0"/>
              <w:widowControl/>
              <w:suppressLineNumbers w:val="0"/>
              <w:jc w:val="center"/>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8</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B70B9">
            <w:pPr>
              <w:keepNext w:val="0"/>
              <w:keepLines w:val="0"/>
              <w:widowControl/>
              <w:suppressLineNumbers w:val="0"/>
              <w:jc w:val="right"/>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6.3882</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A14D5">
            <w:pPr>
              <w:keepNext w:val="0"/>
              <w:keepLines w:val="0"/>
              <w:widowControl/>
              <w:suppressLineNumbers w:val="0"/>
              <w:jc w:val="right"/>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1.75</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A2B6A">
            <w:pPr>
              <w:keepNext w:val="0"/>
              <w:keepLines w:val="0"/>
              <w:widowControl/>
              <w:suppressLineNumbers w:val="0"/>
              <w:jc w:val="right"/>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8.667</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5DF4C">
            <w:pPr>
              <w:keepNext w:val="0"/>
              <w:keepLines w:val="0"/>
              <w:widowControl/>
              <w:suppressLineNumbers w:val="0"/>
              <w:jc w:val="right"/>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1.75</w:t>
            </w:r>
          </w:p>
        </w:tc>
      </w:tr>
      <w:tr w14:paraId="279A91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67F5E">
            <w:pPr>
              <w:keepNext w:val="0"/>
              <w:keepLines w:val="0"/>
              <w:widowControl/>
              <w:suppressLineNumbers w:val="0"/>
              <w:jc w:val="center"/>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9</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C1518">
            <w:pPr>
              <w:keepNext w:val="0"/>
              <w:keepLines w:val="0"/>
              <w:widowControl/>
              <w:suppressLineNumbers w:val="0"/>
              <w:jc w:val="right"/>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6.4008</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1F886">
            <w:pPr>
              <w:keepNext w:val="0"/>
              <w:keepLines w:val="0"/>
              <w:widowControl/>
              <w:suppressLineNumbers w:val="0"/>
              <w:jc w:val="right"/>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FEF75">
            <w:pPr>
              <w:keepNext w:val="0"/>
              <w:keepLines w:val="0"/>
              <w:widowControl/>
              <w:suppressLineNumbers w:val="0"/>
              <w:jc w:val="right"/>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8.748</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AC4C1">
            <w:pPr>
              <w:keepNext w:val="0"/>
              <w:keepLines w:val="0"/>
              <w:widowControl/>
              <w:suppressLineNumbers w:val="0"/>
              <w:jc w:val="right"/>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w:t>
            </w:r>
          </w:p>
        </w:tc>
      </w:tr>
      <w:tr w14:paraId="0E1DD5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03695">
            <w:pPr>
              <w:keepNext w:val="0"/>
              <w:keepLines w:val="0"/>
              <w:widowControl/>
              <w:suppressLineNumbers w:val="0"/>
              <w:jc w:val="center"/>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10</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BC553">
            <w:pPr>
              <w:keepNext w:val="0"/>
              <w:keepLines w:val="0"/>
              <w:widowControl/>
              <w:suppressLineNumbers w:val="0"/>
              <w:jc w:val="right"/>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6.4134</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5A352">
            <w:pPr>
              <w:keepNext w:val="0"/>
              <w:keepLines w:val="0"/>
              <w:widowControl/>
              <w:suppressLineNumbers w:val="0"/>
              <w:jc w:val="right"/>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2.25</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9D5AB">
            <w:pPr>
              <w:keepNext w:val="0"/>
              <w:keepLines w:val="0"/>
              <w:widowControl/>
              <w:suppressLineNumbers w:val="0"/>
              <w:jc w:val="right"/>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8.829</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BDCC2">
            <w:pPr>
              <w:keepNext w:val="0"/>
              <w:keepLines w:val="0"/>
              <w:widowControl/>
              <w:suppressLineNumbers w:val="0"/>
              <w:jc w:val="right"/>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2.25</w:t>
            </w:r>
          </w:p>
        </w:tc>
      </w:tr>
      <w:tr w14:paraId="10EE3D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ADA77">
            <w:pPr>
              <w:keepNext w:val="0"/>
              <w:keepLines w:val="0"/>
              <w:widowControl/>
              <w:suppressLineNumbers w:val="0"/>
              <w:jc w:val="center"/>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11</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51C13">
            <w:pPr>
              <w:keepNext w:val="0"/>
              <w:keepLines w:val="0"/>
              <w:widowControl/>
              <w:suppressLineNumbers w:val="0"/>
              <w:jc w:val="right"/>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6.426</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D411B">
            <w:pPr>
              <w:keepNext w:val="0"/>
              <w:keepLines w:val="0"/>
              <w:widowControl/>
              <w:suppressLineNumbers w:val="0"/>
              <w:jc w:val="right"/>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2.5</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34598">
            <w:pPr>
              <w:keepNext w:val="0"/>
              <w:keepLines w:val="0"/>
              <w:widowControl/>
              <w:suppressLineNumbers w:val="0"/>
              <w:jc w:val="right"/>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8.91</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C4357">
            <w:pPr>
              <w:keepNext w:val="0"/>
              <w:keepLines w:val="0"/>
              <w:widowControl/>
              <w:suppressLineNumbers w:val="0"/>
              <w:jc w:val="right"/>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2.5</w:t>
            </w:r>
          </w:p>
        </w:tc>
      </w:tr>
      <w:tr w14:paraId="42C26D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EA2DF">
            <w:pPr>
              <w:keepNext w:val="0"/>
              <w:keepLines w:val="0"/>
              <w:widowControl/>
              <w:suppressLineNumbers w:val="0"/>
              <w:jc w:val="center"/>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12</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6F14E">
            <w:pPr>
              <w:keepNext w:val="0"/>
              <w:keepLines w:val="0"/>
              <w:widowControl/>
              <w:suppressLineNumbers w:val="0"/>
              <w:jc w:val="right"/>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6.4386</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72D0D">
            <w:pPr>
              <w:keepNext w:val="0"/>
              <w:keepLines w:val="0"/>
              <w:widowControl/>
              <w:suppressLineNumbers w:val="0"/>
              <w:jc w:val="right"/>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2.75</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8A5C9">
            <w:pPr>
              <w:keepNext w:val="0"/>
              <w:keepLines w:val="0"/>
              <w:widowControl/>
              <w:suppressLineNumbers w:val="0"/>
              <w:jc w:val="right"/>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8.991</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DB06A">
            <w:pPr>
              <w:keepNext w:val="0"/>
              <w:keepLines w:val="0"/>
              <w:widowControl/>
              <w:suppressLineNumbers w:val="0"/>
              <w:jc w:val="right"/>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2.75</w:t>
            </w:r>
          </w:p>
        </w:tc>
      </w:tr>
      <w:tr w14:paraId="27C4CE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DBDF1">
            <w:pPr>
              <w:keepNext w:val="0"/>
              <w:keepLines w:val="0"/>
              <w:widowControl/>
              <w:suppressLineNumbers w:val="0"/>
              <w:jc w:val="center"/>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13</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7B7FF">
            <w:pPr>
              <w:keepNext w:val="0"/>
              <w:keepLines w:val="0"/>
              <w:widowControl/>
              <w:suppressLineNumbers w:val="0"/>
              <w:jc w:val="right"/>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6.4512</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22009">
            <w:pPr>
              <w:keepNext w:val="0"/>
              <w:keepLines w:val="0"/>
              <w:widowControl/>
              <w:suppressLineNumbers w:val="0"/>
              <w:jc w:val="right"/>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8BFFC">
            <w:pPr>
              <w:keepNext w:val="0"/>
              <w:keepLines w:val="0"/>
              <w:widowControl/>
              <w:suppressLineNumbers w:val="0"/>
              <w:jc w:val="right"/>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9.072</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55902">
            <w:pPr>
              <w:keepNext w:val="0"/>
              <w:keepLines w:val="0"/>
              <w:widowControl/>
              <w:suppressLineNumbers w:val="0"/>
              <w:jc w:val="right"/>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w:t>
            </w:r>
          </w:p>
        </w:tc>
      </w:tr>
      <w:tr w14:paraId="0779D6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AC57C">
            <w:pPr>
              <w:keepNext w:val="0"/>
              <w:keepLines w:val="0"/>
              <w:widowControl/>
              <w:suppressLineNumbers w:val="0"/>
              <w:jc w:val="center"/>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14</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41EE5">
            <w:pPr>
              <w:keepNext w:val="0"/>
              <w:keepLines w:val="0"/>
              <w:widowControl/>
              <w:suppressLineNumbers w:val="0"/>
              <w:jc w:val="right"/>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6.4638</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A426B">
            <w:pPr>
              <w:keepNext w:val="0"/>
              <w:keepLines w:val="0"/>
              <w:widowControl/>
              <w:suppressLineNumbers w:val="0"/>
              <w:jc w:val="right"/>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3.25</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7D9FB">
            <w:pPr>
              <w:keepNext w:val="0"/>
              <w:keepLines w:val="0"/>
              <w:widowControl/>
              <w:suppressLineNumbers w:val="0"/>
              <w:jc w:val="right"/>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9.153</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33A5E">
            <w:pPr>
              <w:keepNext w:val="0"/>
              <w:keepLines w:val="0"/>
              <w:widowControl/>
              <w:suppressLineNumbers w:val="0"/>
              <w:jc w:val="right"/>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3.25</w:t>
            </w:r>
          </w:p>
        </w:tc>
      </w:tr>
      <w:tr w14:paraId="3BD6FD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11FFF">
            <w:pPr>
              <w:keepNext w:val="0"/>
              <w:keepLines w:val="0"/>
              <w:widowControl/>
              <w:suppressLineNumbers w:val="0"/>
              <w:jc w:val="center"/>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15</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E46B2">
            <w:pPr>
              <w:keepNext w:val="0"/>
              <w:keepLines w:val="0"/>
              <w:widowControl/>
              <w:suppressLineNumbers w:val="0"/>
              <w:jc w:val="right"/>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6.4764</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492A7">
            <w:pPr>
              <w:keepNext w:val="0"/>
              <w:keepLines w:val="0"/>
              <w:widowControl/>
              <w:suppressLineNumbers w:val="0"/>
              <w:jc w:val="right"/>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3.5</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A6CA8">
            <w:pPr>
              <w:keepNext w:val="0"/>
              <w:keepLines w:val="0"/>
              <w:widowControl/>
              <w:suppressLineNumbers w:val="0"/>
              <w:jc w:val="right"/>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9.234</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41DCF">
            <w:pPr>
              <w:keepNext w:val="0"/>
              <w:keepLines w:val="0"/>
              <w:widowControl/>
              <w:suppressLineNumbers w:val="0"/>
              <w:jc w:val="right"/>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3.5</w:t>
            </w:r>
          </w:p>
        </w:tc>
      </w:tr>
      <w:tr w14:paraId="3BB82B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9045C">
            <w:pPr>
              <w:keepNext w:val="0"/>
              <w:keepLines w:val="0"/>
              <w:widowControl/>
              <w:suppressLineNumbers w:val="0"/>
              <w:jc w:val="center"/>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16</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DC58C">
            <w:pPr>
              <w:keepNext w:val="0"/>
              <w:keepLines w:val="0"/>
              <w:widowControl/>
              <w:suppressLineNumbers w:val="0"/>
              <w:jc w:val="right"/>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6.489</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2BF99">
            <w:pPr>
              <w:keepNext w:val="0"/>
              <w:keepLines w:val="0"/>
              <w:widowControl/>
              <w:suppressLineNumbers w:val="0"/>
              <w:jc w:val="right"/>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3.75</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28981">
            <w:pPr>
              <w:keepNext w:val="0"/>
              <w:keepLines w:val="0"/>
              <w:widowControl/>
              <w:suppressLineNumbers w:val="0"/>
              <w:jc w:val="right"/>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9.315</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A1CB6">
            <w:pPr>
              <w:keepNext w:val="0"/>
              <w:keepLines w:val="0"/>
              <w:widowControl/>
              <w:suppressLineNumbers w:val="0"/>
              <w:jc w:val="right"/>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3.75</w:t>
            </w:r>
          </w:p>
        </w:tc>
      </w:tr>
      <w:tr w14:paraId="03C230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26A2F">
            <w:pPr>
              <w:keepNext w:val="0"/>
              <w:keepLines w:val="0"/>
              <w:widowControl/>
              <w:suppressLineNumbers w:val="0"/>
              <w:jc w:val="center"/>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17</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090B4">
            <w:pPr>
              <w:keepNext w:val="0"/>
              <w:keepLines w:val="0"/>
              <w:widowControl/>
              <w:suppressLineNumbers w:val="0"/>
              <w:jc w:val="right"/>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6.5016</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93E53">
            <w:pPr>
              <w:keepNext w:val="0"/>
              <w:keepLines w:val="0"/>
              <w:widowControl/>
              <w:suppressLineNumbers w:val="0"/>
              <w:jc w:val="right"/>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4</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38E65">
            <w:pPr>
              <w:keepNext w:val="0"/>
              <w:keepLines w:val="0"/>
              <w:widowControl/>
              <w:suppressLineNumbers w:val="0"/>
              <w:jc w:val="right"/>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9.396</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F21CE">
            <w:pPr>
              <w:keepNext w:val="0"/>
              <w:keepLines w:val="0"/>
              <w:widowControl/>
              <w:suppressLineNumbers w:val="0"/>
              <w:jc w:val="right"/>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4</w:t>
            </w:r>
          </w:p>
        </w:tc>
      </w:tr>
      <w:tr w14:paraId="2EFD7F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81182">
            <w:pPr>
              <w:keepNext w:val="0"/>
              <w:keepLines w:val="0"/>
              <w:widowControl/>
              <w:suppressLineNumbers w:val="0"/>
              <w:jc w:val="center"/>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18</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633E5">
            <w:pPr>
              <w:keepNext w:val="0"/>
              <w:keepLines w:val="0"/>
              <w:widowControl/>
              <w:suppressLineNumbers w:val="0"/>
              <w:jc w:val="right"/>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6.5142</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33C3C">
            <w:pPr>
              <w:keepNext w:val="0"/>
              <w:keepLines w:val="0"/>
              <w:widowControl/>
              <w:suppressLineNumbers w:val="0"/>
              <w:jc w:val="right"/>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4.25</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FAB60">
            <w:pPr>
              <w:keepNext w:val="0"/>
              <w:keepLines w:val="0"/>
              <w:widowControl/>
              <w:suppressLineNumbers w:val="0"/>
              <w:jc w:val="right"/>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9.477</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26FCF">
            <w:pPr>
              <w:keepNext w:val="0"/>
              <w:keepLines w:val="0"/>
              <w:widowControl/>
              <w:suppressLineNumbers w:val="0"/>
              <w:jc w:val="right"/>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4.25</w:t>
            </w:r>
          </w:p>
        </w:tc>
      </w:tr>
      <w:tr w14:paraId="09ADF3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03A48">
            <w:pPr>
              <w:keepNext w:val="0"/>
              <w:keepLines w:val="0"/>
              <w:widowControl/>
              <w:suppressLineNumbers w:val="0"/>
              <w:jc w:val="center"/>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19</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CE5D0">
            <w:pPr>
              <w:keepNext w:val="0"/>
              <w:keepLines w:val="0"/>
              <w:widowControl/>
              <w:suppressLineNumbers w:val="0"/>
              <w:jc w:val="right"/>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6.5268</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50CAC">
            <w:pPr>
              <w:keepNext w:val="0"/>
              <w:keepLines w:val="0"/>
              <w:widowControl/>
              <w:suppressLineNumbers w:val="0"/>
              <w:jc w:val="right"/>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4.5</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3C1AC">
            <w:pPr>
              <w:keepNext w:val="0"/>
              <w:keepLines w:val="0"/>
              <w:widowControl/>
              <w:suppressLineNumbers w:val="0"/>
              <w:jc w:val="right"/>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9.558</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76C93">
            <w:pPr>
              <w:keepNext w:val="0"/>
              <w:keepLines w:val="0"/>
              <w:widowControl/>
              <w:suppressLineNumbers w:val="0"/>
              <w:jc w:val="right"/>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4.5</w:t>
            </w:r>
          </w:p>
        </w:tc>
      </w:tr>
      <w:tr w14:paraId="35DCA1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52422">
            <w:pPr>
              <w:keepNext w:val="0"/>
              <w:keepLines w:val="0"/>
              <w:widowControl/>
              <w:suppressLineNumbers w:val="0"/>
              <w:jc w:val="center"/>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20</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20A2E">
            <w:pPr>
              <w:keepNext w:val="0"/>
              <w:keepLines w:val="0"/>
              <w:widowControl/>
              <w:suppressLineNumbers w:val="0"/>
              <w:jc w:val="right"/>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6.5394</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BEF44">
            <w:pPr>
              <w:keepNext w:val="0"/>
              <w:keepLines w:val="0"/>
              <w:widowControl/>
              <w:suppressLineNumbers w:val="0"/>
              <w:jc w:val="right"/>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4.75</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FBAC7">
            <w:pPr>
              <w:keepNext w:val="0"/>
              <w:keepLines w:val="0"/>
              <w:widowControl/>
              <w:suppressLineNumbers w:val="0"/>
              <w:jc w:val="right"/>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9.639</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54145">
            <w:pPr>
              <w:keepNext w:val="0"/>
              <w:keepLines w:val="0"/>
              <w:widowControl/>
              <w:suppressLineNumbers w:val="0"/>
              <w:jc w:val="right"/>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4.75</w:t>
            </w:r>
          </w:p>
        </w:tc>
      </w:tr>
      <w:tr w14:paraId="3E2CE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B7C11">
            <w:pPr>
              <w:keepNext w:val="0"/>
              <w:keepLines w:val="0"/>
              <w:widowControl/>
              <w:suppressLineNumbers w:val="0"/>
              <w:jc w:val="center"/>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21</w:t>
            </w:r>
          </w:p>
        </w:tc>
        <w:tc>
          <w:tcPr>
            <w:tcW w:w="1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4573D">
            <w:pPr>
              <w:keepNext w:val="0"/>
              <w:keepLines w:val="0"/>
              <w:widowControl/>
              <w:suppressLineNumbers w:val="0"/>
              <w:jc w:val="right"/>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6.552</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869E9">
            <w:pPr>
              <w:keepNext w:val="0"/>
              <w:keepLines w:val="0"/>
              <w:widowControl/>
              <w:suppressLineNumbers w:val="0"/>
              <w:jc w:val="right"/>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5</w:t>
            </w:r>
          </w:p>
        </w:tc>
        <w:tc>
          <w:tcPr>
            <w:tcW w:w="2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1F6DD">
            <w:pPr>
              <w:keepNext w:val="0"/>
              <w:keepLines w:val="0"/>
              <w:widowControl/>
              <w:suppressLineNumbers w:val="0"/>
              <w:jc w:val="right"/>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9.72</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5434E">
            <w:pPr>
              <w:keepNext w:val="0"/>
              <w:keepLines w:val="0"/>
              <w:widowControl/>
              <w:suppressLineNumbers w:val="0"/>
              <w:jc w:val="right"/>
              <w:textAlignment w:val="center"/>
              <w:rPr>
                <w:rFonts w:hint="eastAsia" w:ascii="仿宋" w:hAnsi="仿宋" w:eastAsia="仿宋" w:cs="仿宋"/>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5</w:t>
            </w:r>
          </w:p>
        </w:tc>
      </w:tr>
    </w:tbl>
    <w:p w14:paraId="6B3F70D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FC3405"/>
    <w:multiLevelType w:val="singleLevel"/>
    <w:tmpl w:val="83FC3405"/>
    <w:lvl w:ilvl="0" w:tentative="0">
      <w:start w:val="1"/>
      <w:numFmt w:val="decimal"/>
      <w:lvlText w:val="%1."/>
      <w:lvlJc w:val="left"/>
      <w:pPr>
        <w:tabs>
          <w:tab w:val="left" w:pos="312"/>
        </w:tabs>
      </w:pPr>
    </w:lvl>
  </w:abstractNum>
  <w:abstractNum w:abstractNumId="1">
    <w:nsid w:val="15631E62"/>
    <w:multiLevelType w:val="multilevel"/>
    <w:tmpl w:val="15631E62"/>
    <w:lvl w:ilvl="0" w:tentative="0">
      <w:start w:val="1"/>
      <w:numFmt w:val="decimal"/>
      <w:lvlText w:val="%1."/>
      <w:lvlJc w:val="left"/>
      <w:pPr>
        <w:tabs>
          <w:tab w:val="left" w:pos="312"/>
        </w:tabs>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1688259C"/>
    <w:multiLevelType w:val="singleLevel"/>
    <w:tmpl w:val="1688259C"/>
    <w:lvl w:ilvl="0" w:tentative="0">
      <w:start w:val="2"/>
      <w:numFmt w:val="chineseCounting"/>
      <w:suff w:val="nothing"/>
      <w:lvlText w:val="%1、"/>
      <w:lvlJc w:val="left"/>
      <w:rPr>
        <w:rFonts w:hint="eastAsia"/>
      </w:rPr>
    </w:lvl>
  </w:abstractNum>
  <w:num w:numId="1">
    <w:abstractNumId w:val="0"/>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IxYmU5ZjVjZGJmNjAyNWU5OWE1NzM3NTBmNTA1NDMifQ=="/>
  </w:docVars>
  <w:rsids>
    <w:rsidRoot w:val="2D5047C1"/>
    <w:rsid w:val="2D5047C1"/>
    <w:rsid w:val="353D16A1"/>
    <w:rsid w:val="41175793"/>
    <w:rsid w:val="43CC2B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5">
    <w:name w:val="heading 1"/>
    <w:basedOn w:val="1"/>
    <w:next w:val="1"/>
    <w:qFormat/>
    <w:uiPriority w:val="99"/>
    <w:pPr>
      <w:keepNext/>
      <w:keepLines/>
      <w:spacing w:before="340" w:after="330" w:line="576" w:lineRule="auto"/>
      <w:outlineLvl w:val="0"/>
    </w:pPr>
    <w:rPr>
      <w:b/>
      <w:bCs/>
      <w:kern w:val="44"/>
      <w:sz w:val="44"/>
      <w:szCs w:val="44"/>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widowControl/>
      <w:spacing w:beforeLines="50" w:afterLines="50" w:line="360" w:lineRule="auto"/>
      <w:ind w:right="-120" w:firstLine="476"/>
    </w:pPr>
    <w:rPr>
      <w:rFonts w:hAnsi="宋体"/>
      <w:sz w:val="24"/>
    </w:rPr>
  </w:style>
  <w:style w:type="paragraph" w:styleId="3">
    <w:name w:val="Body Text"/>
    <w:basedOn w:val="1"/>
    <w:next w:val="4"/>
    <w:qFormat/>
    <w:uiPriority w:val="0"/>
    <w:pPr>
      <w:spacing w:after="120" w:line="240" w:lineRule="auto"/>
    </w:pPr>
    <w:rPr>
      <w:kern w:val="0"/>
      <w:sz w:val="20"/>
      <w:szCs w:val="20"/>
    </w:rPr>
  </w:style>
  <w:style w:type="paragraph" w:customStyle="1" w:styleId="4">
    <w:name w:val="目录 53"/>
    <w:next w:val="1"/>
    <w:qFormat/>
    <w:uiPriority w:val="0"/>
    <w:pPr>
      <w:wordWrap w:val="0"/>
      <w:ind w:left="1275"/>
      <w:jc w:val="both"/>
    </w:pPr>
    <w:rPr>
      <w:rFonts w:ascii="Calibri" w:hAnsi="Calibri" w:eastAsia="宋体" w:cs="Times New Roman"/>
      <w:sz w:val="21"/>
      <w:lang w:val="en-US" w:eastAsia="zh-CN" w:bidi="ar-SA"/>
    </w:rPr>
  </w:style>
  <w:style w:type="paragraph" w:styleId="6">
    <w:name w:val="Plain Text"/>
    <w:basedOn w:val="1"/>
    <w:next w:val="1"/>
    <w:qFormat/>
    <w:uiPriority w:val="0"/>
    <w:rPr>
      <w:rFonts w:ascii="宋体" w:hAnsi="Courier New"/>
      <w:szCs w:val="20"/>
    </w:rPr>
  </w:style>
  <w:style w:type="character" w:customStyle="1" w:styleId="9">
    <w:name w:val="18"/>
    <w:basedOn w:val="8"/>
    <w:qFormat/>
    <w:uiPriority w:val="0"/>
    <w:rPr>
      <w:rFonts w:hint="default" w:ascii="Arial" w:hAnsi="Arial" w:eastAsia="黑体" w:cs="Arial"/>
      <w:b/>
      <w:bCs/>
      <w:kern w:val="2"/>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4551</Words>
  <Characters>5172</Characters>
  <Lines>0</Lines>
  <Paragraphs>0</Paragraphs>
  <TotalTime>0</TotalTime>
  <ScaleCrop>false</ScaleCrop>
  <LinksUpToDate>false</LinksUpToDate>
  <CharactersWithSpaces>5186</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2024-11-04T10:55:00Z</dcterms:created>
  <dc:creator>Administrator</dc:creator>
  <cp:lastModifiedBy>Administrator</cp:lastModifiedBy>
  <dcterms:modified xsi:type="dcterms:W3CDTF">2024-11-04T11:17:29Z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714F3A8E7C1144BD975FBC7BAB04D13D_11</vt:lpwstr>
  </property>
</Properties>
</file>