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numPr>
          <w:ilvl w:val="0"/>
          <w:numId w:val="1"/>
        </w:numPr>
        <w:outlineLvl w:val="0"/>
        <w:rPr>
          <w:color w:val="auto"/>
          <w:sz w:val="32"/>
          <w:szCs w:val="32"/>
          <w:highlight w:val="none"/>
        </w:rPr>
      </w:pPr>
      <w:r>
        <w:rPr>
          <w:rFonts w:hint="eastAsia"/>
          <w:color w:val="auto"/>
          <w:sz w:val="32"/>
          <w:szCs w:val="32"/>
          <w:highlight w:val="none"/>
        </w:rPr>
        <w:t>货物需求一</w:t>
      </w:r>
      <w:bookmarkStart w:id="2" w:name="_GoBack"/>
      <w:bookmarkEnd w:id="2"/>
      <w:r>
        <w:rPr>
          <w:rFonts w:hint="eastAsia"/>
          <w:color w:val="auto"/>
          <w:sz w:val="32"/>
          <w:szCs w:val="32"/>
          <w:highlight w:val="none"/>
        </w:rPr>
        <w:t>览表</w:t>
      </w:r>
    </w:p>
    <w:p>
      <w:pPr>
        <w:adjustRightInd w:val="0"/>
        <w:spacing w:line="340" w:lineRule="exact"/>
        <w:rPr>
          <w:b/>
          <w:color w:val="auto"/>
          <w:highlight w:val="none"/>
        </w:rPr>
      </w:pPr>
      <w:bookmarkStart w:id="0" w:name="_Hlk58056859"/>
      <w:r>
        <w:rPr>
          <w:rFonts w:hint="eastAsia"/>
          <w:b/>
          <w:color w:val="auto"/>
          <w:highlight w:val="none"/>
        </w:rPr>
        <w:t>说明：</w:t>
      </w:r>
    </w:p>
    <w:bookmarkEnd w:id="0"/>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w:t>
      </w:r>
      <w:r>
        <w:rPr>
          <w:rFonts w:hint="eastAsia" w:cs="Calibri"/>
          <w:b/>
          <w:bCs/>
          <w:color w:val="auto"/>
          <w:szCs w:val="24"/>
          <w:highlight w:val="none"/>
          <w:lang w:val="en-US" w:eastAsia="zh-CN"/>
        </w:rPr>
        <w:t>1</w:t>
      </w:r>
      <w:r>
        <w:rPr>
          <w:rFonts w:hint="eastAsia" w:cs="Calibri"/>
          <w:b/>
          <w:bCs/>
          <w:color w:val="auto"/>
          <w:szCs w:val="24"/>
          <w:highlight w:val="none"/>
        </w:rPr>
        <w:t>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tbl>
      <w:tblPr>
        <w:tblStyle w:val="3"/>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679"/>
        <w:gridCol w:w="900"/>
        <w:gridCol w:w="1525"/>
        <w:gridCol w:w="48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bookmarkStart w:id="1"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67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9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52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w:t>
            </w:r>
          </w:p>
        </w:tc>
        <w:tc>
          <w:tcPr>
            <w:tcW w:w="48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施夹器</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1把</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8500元/把</w:t>
            </w:r>
          </w:p>
        </w:tc>
        <w:tc>
          <w:tcPr>
            <w:tcW w:w="4809" w:type="dxa"/>
            <w:tcBorders>
              <w:top w:val="single" w:color="auto" w:sz="4" w:space="0"/>
              <w:left w:val="single" w:color="auto" w:sz="4" w:space="0"/>
              <w:bottom w:val="single" w:color="auto" w:sz="4" w:space="0"/>
              <w:right w:val="single" w:color="auto" w:sz="4" w:space="0"/>
            </w:tcBorders>
            <w:vAlign w:val="center"/>
          </w:tcPr>
          <w:p>
            <w:pPr>
              <w:pStyle w:val="6"/>
              <w:numPr>
                <w:ilvl w:val="0"/>
                <w:numId w:val="0"/>
              </w:numPr>
              <w:jc w:val="left"/>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直径10毫米，钳子夹持力不小于40N。工作长度420毫米，可高温高压消毒。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2</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施夹器</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1把</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 xml:space="preserve">8500元/把 </w:t>
            </w:r>
          </w:p>
        </w:tc>
        <w:tc>
          <w:tcPr>
            <w:tcW w:w="4809" w:type="dxa"/>
            <w:tcBorders>
              <w:top w:val="single" w:color="auto" w:sz="4" w:space="0"/>
              <w:left w:val="single" w:color="auto" w:sz="4" w:space="0"/>
              <w:bottom w:val="single" w:color="auto" w:sz="4" w:space="0"/>
              <w:right w:val="single" w:color="auto" w:sz="4" w:space="0"/>
            </w:tcBorders>
            <w:vAlign w:val="center"/>
          </w:tcPr>
          <w:p>
            <w:pPr>
              <w:pStyle w:val="6"/>
              <w:numPr>
                <w:ilvl w:val="0"/>
                <w:numId w:val="0"/>
              </w:numPr>
              <w:jc w:val="left"/>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直径5毫米，钳子夹持力不小于20N。工作长度420毫米，可高温高压消毒。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3</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单极分离钳（弯分离钳）</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1把</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 xml:space="preserve">3500元/把 </w:t>
            </w:r>
          </w:p>
        </w:tc>
        <w:tc>
          <w:tcPr>
            <w:tcW w:w="4809" w:type="dxa"/>
            <w:tcBorders>
              <w:top w:val="single" w:color="auto" w:sz="4" w:space="0"/>
              <w:left w:val="single" w:color="auto" w:sz="4" w:space="0"/>
              <w:bottom w:val="single" w:color="auto" w:sz="4" w:space="0"/>
              <w:right w:val="single" w:color="auto" w:sz="4" w:space="0"/>
            </w:tcBorders>
            <w:vAlign w:val="center"/>
          </w:tcPr>
          <w:p>
            <w:pPr>
              <w:pStyle w:val="6"/>
              <w:numPr>
                <w:ilvl w:val="0"/>
                <w:numId w:val="0"/>
              </w:numPr>
              <w:jc w:val="left"/>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直径5毫米，工作长度420毫米，钳子夹持力不小于20N。由绝缘层和不锈钢材料制成，带单极电凝接口，可高温高压消毒。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4</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单极抓钳（肠抓钳）</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2把</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3700元/把</w:t>
            </w:r>
          </w:p>
        </w:tc>
        <w:tc>
          <w:tcPr>
            <w:tcW w:w="4809" w:type="dxa"/>
            <w:tcBorders>
              <w:top w:val="single" w:color="auto" w:sz="4" w:space="0"/>
              <w:left w:val="single" w:color="auto" w:sz="4" w:space="0"/>
              <w:bottom w:val="single" w:color="auto" w:sz="4" w:space="0"/>
              <w:right w:val="single" w:color="auto" w:sz="4" w:space="0"/>
            </w:tcBorders>
            <w:vAlign w:val="center"/>
          </w:tcPr>
          <w:p>
            <w:pPr>
              <w:pStyle w:val="6"/>
              <w:numPr>
                <w:ilvl w:val="0"/>
                <w:numId w:val="0"/>
              </w:numPr>
              <w:jc w:val="left"/>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直径5毫米，工作长度420毫米，钳子夹持力不小于20N。由绝缘层和不锈钢材料制成，带单极电凝接口，可高温高压消毒。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5</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单极抓钳（胃抓钳）</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2把</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3500元/把</w:t>
            </w:r>
          </w:p>
        </w:tc>
        <w:tc>
          <w:tcPr>
            <w:tcW w:w="4809" w:type="dxa"/>
            <w:tcBorders>
              <w:top w:val="single" w:color="auto" w:sz="4" w:space="0"/>
              <w:left w:val="single" w:color="auto" w:sz="4" w:space="0"/>
              <w:bottom w:val="single" w:color="auto" w:sz="4" w:space="0"/>
              <w:right w:val="single" w:color="auto" w:sz="4" w:space="0"/>
            </w:tcBorders>
            <w:vAlign w:val="center"/>
          </w:tcPr>
          <w:p>
            <w:pPr>
              <w:pStyle w:val="6"/>
              <w:numPr>
                <w:ilvl w:val="0"/>
                <w:numId w:val="0"/>
              </w:numPr>
              <w:jc w:val="left"/>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直径5毫米，工作长度420毫米，钳子夹持力不小于20N。由绝缘层和不锈钢材料制成，带单极电凝接口，可高温高压消毒。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6</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O型持针钳</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1把</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5400元/把</w:t>
            </w:r>
          </w:p>
        </w:tc>
        <w:tc>
          <w:tcPr>
            <w:tcW w:w="4809" w:type="dxa"/>
            <w:tcBorders>
              <w:top w:val="single" w:color="auto" w:sz="4" w:space="0"/>
              <w:left w:val="single" w:color="auto" w:sz="4" w:space="0"/>
              <w:bottom w:val="single" w:color="auto" w:sz="4" w:space="0"/>
              <w:right w:val="single" w:color="auto" w:sz="4" w:space="0"/>
            </w:tcBorders>
            <w:vAlign w:val="center"/>
          </w:tcPr>
          <w:p>
            <w:pPr>
              <w:pStyle w:val="6"/>
              <w:numPr>
                <w:ilvl w:val="0"/>
                <w:numId w:val="0"/>
              </w:numPr>
              <w:jc w:val="left"/>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直径5毫米，工作长度420毫米，钳子夹持力不小于20N。可高温高压消毒。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7</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双极电凝钳</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1把</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 xml:space="preserve">9600元/把 </w:t>
            </w:r>
          </w:p>
        </w:tc>
        <w:tc>
          <w:tcPr>
            <w:tcW w:w="4809" w:type="dxa"/>
            <w:tcBorders>
              <w:top w:val="single" w:color="auto" w:sz="4" w:space="0"/>
              <w:left w:val="single" w:color="auto" w:sz="4" w:space="0"/>
              <w:bottom w:val="single" w:color="auto" w:sz="4" w:space="0"/>
              <w:right w:val="single" w:color="auto" w:sz="4" w:space="0"/>
            </w:tcBorders>
            <w:vAlign w:val="center"/>
          </w:tcPr>
          <w:p>
            <w:pPr>
              <w:pStyle w:val="6"/>
              <w:numPr>
                <w:ilvl w:val="0"/>
                <w:numId w:val="0"/>
              </w:numPr>
              <w:jc w:val="left"/>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直径5毫米，工作长度420毫米，可高温高压消毒。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8</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电凝棒</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1把</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1700元/把</w:t>
            </w:r>
          </w:p>
        </w:tc>
        <w:tc>
          <w:tcPr>
            <w:tcW w:w="4809" w:type="dxa"/>
            <w:tcBorders>
              <w:top w:val="single" w:color="auto" w:sz="4" w:space="0"/>
              <w:left w:val="single" w:color="auto" w:sz="4" w:space="0"/>
              <w:bottom w:val="single" w:color="auto" w:sz="4" w:space="0"/>
              <w:right w:val="single" w:color="auto" w:sz="4" w:space="0"/>
            </w:tcBorders>
            <w:vAlign w:val="center"/>
          </w:tcPr>
          <w:p>
            <w:pPr>
              <w:pStyle w:val="6"/>
              <w:numPr>
                <w:ilvl w:val="0"/>
                <w:numId w:val="0"/>
              </w:numPr>
              <w:jc w:val="left"/>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直径5毫米，工作长度420毫米，可高温高压消毒。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9</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电凝钩</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1支</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1700元/把</w:t>
            </w:r>
          </w:p>
        </w:tc>
        <w:tc>
          <w:tcPr>
            <w:tcW w:w="4809" w:type="dxa"/>
            <w:tcBorders>
              <w:top w:val="single" w:color="auto" w:sz="4" w:space="0"/>
              <w:left w:val="single" w:color="auto" w:sz="4" w:space="0"/>
              <w:bottom w:val="single" w:color="auto" w:sz="4" w:space="0"/>
              <w:right w:val="single" w:color="auto" w:sz="4" w:space="0"/>
            </w:tcBorders>
            <w:vAlign w:val="center"/>
          </w:tcPr>
          <w:p>
            <w:pPr>
              <w:pStyle w:val="6"/>
              <w:numPr>
                <w:ilvl w:val="0"/>
                <w:numId w:val="0"/>
              </w:numPr>
              <w:jc w:val="left"/>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直径5毫米，工作长度420毫米，可高温高压消毒。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10</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单极剪刀（弯剪刀）</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1把</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3500元/把</w:t>
            </w:r>
          </w:p>
        </w:tc>
        <w:tc>
          <w:tcPr>
            <w:tcW w:w="4809" w:type="dxa"/>
            <w:tcBorders>
              <w:top w:val="single" w:color="auto" w:sz="4" w:space="0"/>
              <w:left w:val="single" w:color="auto" w:sz="4" w:space="0"/>
              <w:bottom w:val="single" w:color="auto" w:sz="4" w:space="0"/>
              <w:right w:val="single" w:color="auto" w:sz="4" w:space="0"/>
            </w:tcBorders>
            <w:vAlign w:val="center"/>
          </w:tcPr>
          <w:p>
            <w:pPr>
              <w:pStyle w:val="6"/>
              <w:numPr>
                <w:ilvl w:val="0"/>
                <w:numId w:val="0"/>
              </w:numPr>
              <w:jc w:val="left"/>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直径5毫米，工作长度420毫米，可高温高压消毒。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11</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按压式吸引器</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1把</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4700元/把</w:t>
            </w:r>
          </w:p>
        </w:tc>
        <w:tc>
          <w:tcPr>
            <w:tcW w:w="480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直径5毫米，工作长度420毫米，可高温高压消毒。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12</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钛夹钳</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1把</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5700元/把</w:t>
            </w:r>
          </w:p>
        </w:tc>
        <w:tc>
          <w:tcPr>
            <w:tcW w:w="480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直径5毫米，工作长度420毫米，钳子夹持力不小于20N</w:t>
            </w:r>
            <w:r>
              <w:rPr>
                <w:rFonts w:hint="eastAsia" w:ascii="Times New Roman" w:hAnsi="Times New Roman" w:cs="Times New Roman"/>
                <w:bCs/>
                <w:color w:val="auto"/>
                <w:szCs w:val="21"/>
                <w:highlight w:val="none"/>
              </w:rPr>
              <w:t>。</w:t>
            </w:r>
            <w:r>
              <w:rPr>
                <w:rFonts w:ascii="Times New Roman" w:hAnsi="Times New Roman" w:cs="Times New Roman"/>
                <w:bCs/>
                <w:color w:val="auto"/>
                <w:szCs w:val="21"/>
                <w:highlight w:val="none"/>
              </w:rPr>
              <w:t>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cs="宋体"/>
                <w:b w:val="0"/>
                <w:bCs/>
                <w:color w:val="auto"/>
                <w:sz w:val="21"/>
                <w:szCs w:val="21"/>
                <w:highlight w:val="none"/>
                <w:lang w:val="en-US" w:eastAsia="zh-CN"/>
              </w:rPr>
            </w:pPr>
            <w:r>
              <w:rPr>
                <w:rFonts w:hint="eastAsia" w:cs="宋体"/>
                <w:b w:val="0"/>
                <w:bCs/>
                <w:color w:val="auto"/>
                <w:sz w:val="21"/>
                <w:szCs w:val="21"/>
                <w:highlight w:val="none"/>
                <w:lang w:val="en-US" w:eastAsia="zh-CN"/>
              </w:rPr>
              <w:t>13</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气腹针</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1支</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1700元/把</w:t>
            </w:r>
          </w:p>
        </w:tc>
        <w:tc>
          <w:tcPr>
            <w:tcW w:w="480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直径2.2毫米，工作长度150毫米，</w:t>
            </w:r>
            <w:r>
              <w:rPr>
                <w:rFonts w:hint="eastAsia" w:ascii="Times New Roman" w:hAnsi="Times New Roman" w:cs="Times New Roman"/>
                <w:bCs/>
                <w:color w:val="auto"/>
                <w:szCs w:val="21"/>
                <w:highlight w:val="none"/>
              </w:rPr>
              <w:t>能穿透2mm厚的硅胶膜。</w:t>
            </w:r>
            <w:r>
              <w:rPr>
                <w:rFonts w:ascii="Times New Roman" w:hAnsi="Times New Roman" w:cs="Times New Roman"/>
                <w:bCs/>
                <w:color w:val="auto"/>
                <w:szCs w:val="21"/>
                <w:highlight w:val="none"/>
              </w:rPr>
              <w:t>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cs="宋体"/>
                <w:b w:val="0"/>
                <w:bCs/>
                <w:color w:val="auto"/>
                <w:sz w:val="21"/>
                <w:szCs w:val="21"/>
                <w:highlight w:val="none"/>
                <w:lang w:val="en-US" w:eastAsia="zh-CN"/>
              </w:rPr>
            </w:pPr>
            <w:r>
              <w:rPr>
                <w:rFonts w:hint="eastAsia" w:cs="宋体"/>
                <w:b w:val="0"/>
                <w:bCs/>
                <w:color w:val="auto"/>
                <w:sz w:val="21"/>
                <w:szCs w:val="21"/>
                <w:highlight w:val="none"/>
                <w:lang w:val="en-US" w:eastAsia="zh-CN"/>
              </w:rPr>
              <w:t>14</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双极高频电缆线</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1条</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960元/把</w:t>
            </w:r>
          </w:p>
        </w:tc>
        <w:tc>
          <w:tcPr>
            <w:tcW w:w="4809" w:type="dxa"/>
            <w:tcBorders>
              <w:top w:val="single" w:color="auto" w:sz="4" w:space="0"/>
              <w:left w:val="single" w:color="auto" w:sz="4" w:space="0"/>
              <w:bottom w:val="single" w:color="auto" w:sz="4" w:space="0"/>
              <w:right w:val="single" w:color="auto" w:sz="4" w:space="0"/>
            </w:tcBorders>
            <w:vAlign w:val="center"/>
          </w:tcPr>
          <w:p>
            <w:pPr>
              <w:pStyle w:val="6"/>
              <w:numPr>
                <w:ilvl w:val="0"/>
                <w:numId w:val="0"/>
              </w:numPr>
              <w:jc w:val="left"/>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直径4毫米，工作长度3000毫米</w:t>
            </w:r>
            <w:r>
              <w:rPr>
                <w:rFonts w:hint="eastAsia" w:ascii="Times New Roman" w:hAnsi="Times New Roman" w:cs="Times New Roman"/>
                <w:bCs/>
                <w:color w:val="auto"/>
                <w:szCs w:val="21"/>
                <w:highlight w:val="none"/>
              </w:rPr>
              <w:t>，</w:t>
            </w:r>
            <w:r>
              <w:rPr>
                <w:rFonts w:ascii="Times New Roman" w:hAnsi="Times New Roman" w:cs="Times New Roman"/>
                <w:bCs/>
                <w:color w:val="auto"/>
                <w:szCs w:val="21"/>
                <w:highlight w:val="none"/>
              </w:rPr>
              <w:t>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cs="宋体"/>
                <w:b w:val="0"/>
                <w:bCs/>
                <w:color w:val="auto"/>
                <w:sz w:val="21"/>
                <w:szCs w:val="21"/>
                <w:highlight w:val="none"/>
                <w:lang w:val="en-US" w:eastAsia="zh-CN"/>
              </w:rPr>
            </w:pPr>
            <w:r>
              <w:rPr>
                <w:rFonts w:hint="eastAsia" w:cs="宋体"/>
                <w:b w:val="0"/>
                <w:bCs/>
                <w:color w:val="auto"/>
                <w:sz w:val="21"/>
                <w:szCs w:val="21"/>
                <w:highlight w:val="none"/>
                <w:lang w:val="en-US" w:eastAsia="zh-CN"/>
              </w:rPr>
              <w:t>15</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ascii="Times New Roman" w:hAnsi="Times New Roman" w:cs="Times New Roman"/>
                <w:bCs/>
                <w:color w:val="auto"/>
                <w:szCs w:val="21"/>
                <w:highlight w:val="none"/>
              </w:rPr>
              <w:t>单极高频电缆线</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ascii="Times New Roman" w:hAnsi="Times New Roman" w:cs="Times New Roman"/>
                <w:bCs/>
                <w:color w:val="auto"/>
                <w:szCs w:val="21"/>
                <w:highlight w:val="none"/>
              </w:rPr>
              <w:t>1条</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Times New Roman" w:hAnsi="Times New Roman" w:cs="Times New Roman"/>
                <w:bCs/>
                <w:color w:val="auto"/>
                <w:szCs w:val="21"/>
                <w:highlight w:val="none"/>
              </w:rPr>
              <w:t>770元/把</w:t>
            </w:r>
          </w:p>
        </w:tc>
        <w:tc>
          <w:tcPr>
            <w:tcW w:w="480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sz w:val="21"/>
                <w:szCs w:val="21"/>
                <w:highlight w:val="none"/>
                <w:lang w:eastAsia="zh-CN"/>
              </w:rPr>
            </w:pPr>
            <w:r>
              <w:rPr>
                <w:rFonts w:ascii="Times New Roman" w:hAnsi="Times New Roman" w:cs="Times New Roman"/>
                <w:bCs/>
                <w:color w:val="auto"/>
                <w:szCs w:val="21"/>
                <w:highlight w:val="none"/>
              </w:rPr>
              <w:t>直径4毫米，工作长度3000毫米</w:t>
            </w:r>
            <w:r>
              <w:rPr>
                <w:rFonts w:hint="eastAsia" w:ascii="Times New Roman" w:hAnsi="Times New Roman" w:cs="Times New Roman"/>
                <w:bCs/>
                <w:color w:val="auto"/>
                <w:szCs w:val="21"/>
                <w:highlight w:val="none"/>
              </w:rPr>
              <w:t>，</w:t>
            </w:r>
            <w:r>
              <w:rPr>
                <w:rFonts w:ascii="Times New Roman" w:hAnsi="Times New Roman" w:cs="Times New Roman"/>
                <w:bCs/>
                <w:color w:val="auto"/>
                <w:szCs w:val="21"/>
                <w:highlight w:val="none"/>
              </w:rPr>
              <w:t>可高温高压消毒。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4809"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bCs/>
                <w:color w:val="auto"/>
                <w:highlight w:val="none"/>
              </w:rPr>
            </w:pPr>
            <w:r>
              <w:rPr>
                <w:rFonts w:hint="eastAsia" w:cs="Calibri"/>
                <w:color w:val="auto"/>
                <w:highlight w:val="none"/>
              </w:rPr>
              <w:t>1</w:t>
            </w:r>
            <w:r>
              <w:rPr>
                <w:rFonts w:hint="eastAsia"/>
                <w:bCs/>
                <w:color w:val="auto"/>
                <w:highlight w:val="none"/>
              </w:rPr>
              <w:t>、竞标人应明确承诺：按国家有关产品“三包”规定执行“三包”，货物验收合格后，</w:t>
            </w:r>
            <w:r>
              <w:rPr>
                <w:rFonts w:hint="eastAsia"/>
                <w:bCs/>
                <w:color w:val="auto"/>
                <w:highlight w:val="none"/>
              </w:rPr>
              <w:t>自安装验收合格之日起质保期≥</w:t>
            </w:r>
            <w:r>
              <w:rPr>
                <w:rFonts w:hint="eastAsia"/>
                <w:bCs/>
                <w:color w:val="auto"/>
                <w:highlight w:val="none"/>
                <w:lang w:val="en-US" w:eastAsia="zh-CN"/>
              </w:rPr>
              <w:t>1</w:t>
            </w:r>
            <w:r>
              <w:rPr>
                <w:rFonts w:hint="eastAsia"/>
                <w:bCs/>
                <w:color w:val="auto"/>
                <w:highlight w:val="none"/>
              </w:rPr>
              <w:t>年</w:t>
            </w:r>
            <w:r>
              <w:rPr>
                <w:rFonts w:hint="eastAsia"/>
                <w:bCs/>
                <w:color w:val="auto"/>
                <w:highlight w:val="none"/>
              </w:rPr>
              <w:t>。质保期内非人为损坏免费更换所有故障零配件，并免费提供硬件的安全性改版升级和技术支持，确保设备正常运行。</w:t>
            </w:r>
          </w:p>
          <w:p>
            <w:pPr>
              <w:spacing w:line="360" w:lineRule="exact"/>
              <w:ind w:right="97" w:rightChars="46"/>
              <w:jc w:val="left"/>
              <w:rPr>
                <w:bCs/>
                <w:color w:val="auto"/>
                <w:highlight w:val="none"/>
              </w:rPr>
            </w:pPr>
            <w:r>
              <w:rPr>
                <w:rFonts w:hint="eastAsia"/>
                <w:bCs/>
                <w:color w:val="auto"/>
                <w:highlight w:val="none"/>
              </w:rPr>
              <w:t>2、质保期所更换的零配件必须是原厂全新的零配件，满足设备运行要求。</w:t>
            </w:r>
          </w:p>
          <w:p>
            <w:pPr>
              <w:spacing w:line="360" w:lineRule="exact"/>
              <w:ind w:right="97" w:rightChars="46"/>
              <w:jc w:val="left"/>
              <w:rPr>
                <w:bCs/>
                <w:color w:val="auto"/>
                <w:highlight w:val="none"/>
              </w:rPr>
            </w:pPr>
            <w:r>
              <w:rPr>
                <w:rFonts w:hint="eastAsia"/>
                <w:bCs/>
                <w:color w:val="auto"/>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bCs/>
                <w:color w:val="auto"/>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4809"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w:t>
            </w:r>
            <w:r>
              <w:rPr>
                <w:rFonts w:hint="eastAsia" w:cs="宋体"/>
                <w:bCs/>
                <w:color w:val="auto"/>
                <w:sz w:val="21"/>
                <w:szCs w:val="21"/>
                <w:highlight w:val="none"/>
                <w:lang w:val="en-US" w:eastAsia="zh-CN"/>
              </w:rPr>
              <w:t>3</w:t>
            </w:r>
            <w:r>
              <w:rPr>
                <w:rFonts w:hint="eastAsia" w:ascii="宋体" w:hAnsi="宋体" w:eastAsia="宋体" w:cs="宋体"/>
                <w:bCs/>
                <w:color w:val="auto"/>
                <w:sz w:val="21"/>
                <w:szCs w:val="21"/>
                <w:highlight w:val="none"/>
              </w:rPr>
              <w:t>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4809"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w:t>
            </w:r>
            <w:r>
              <w:rPr>
                <w:rFonts w:hint="eastAsia" w:cs="宋体"/>
                <w:color w:val="auto"/>
                <w:sz w:val="21"/>
                <w:szCs w:val="21"/>
                <w:highlight w:val="none"/>
                <w:lang w:val="en-US" w:eastAsia="zh-CN"/>
              </w:rPr>
              <w:t>97</w:t>
            </w:r>
            <w:r>
              <w:rPr>
                <w:rFonts w:hint="eastAsia" w:ascii="宋体" w:hAnsi="宋体" w:eastAsia="宋体" w:cs="宋体"/>
                <w:color w:val="auto"/>
                <w:sz w:val="21"/>
                <w:szCs w:val="21"/>
                <w:highlight w:val="none"/>
              </w:rPr>
              <w:t>%，第二笔剩余</w:t>
            </w: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rPr>
              <w:t>%的合同款</w:t>
            </w:r>
            <w:r>
              <w:rPr>
                <w:rFonts w:hint="eastAsia" w:cs="宋体"/>
                <w:color w:val="auto"/>
                <w:sz w:val="21"/>
                <w:szCs w:val="21"/>
                <w:highlight w:val="none"/>
                <w:lang w:val="en-US" w:eastAsia="zh-CN"/>
              </w:rPr>
              <w:t>作为质保金</w:t>
            </w:r>
            <w:r>
              <w:rPr>
                <w:rFonts w:hint="eastAsia" w:ascii="宋体" w:hAnsi="宋体" w:eastAsia="宋体" w:cs="宋体"/>
                <w:color w:val="auto"/>
                <w:sz w:val="21"/>
                <w:szCs w:val="21"/>
                <w:highlight w:val="none"/>
              </w:rPr>
              <w:t>，在验收合格交付使用12个月后的15个工作日内支付（无息）。</w:t>
            </w:r>
            <w:r>
              <w:rPr>
                <w:rFonts w:hint="eastAsia" w:cs="宋体"/>
                <w:color w:val="auto"/>
                <w:sz w:val="21"/>
                <w:szCs w:val="21"/>
                <w:highlight w:val="none"/>
                <w:lang w:val="en-US" w:eastAsia="zh-CN"/>
              </w:rPr>
              <w:t>成交人</w:t>
            </w:r>
            <w:r>
              <w:rPr>
                <w:rFonts w:hint="eastAsia" w:ascii="宋体" w:hAnsi="宋体" w:eastAsia="宋体" w:cs="宋体"/>
                <w:color w:val="auto"/>
                <w:sz w:val="21"/>
                <w:szCs w:val="21"/>
                <w:highlight w:val="none"/>
              </w:rPr>
              <w:t>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48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4809"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bCs/>
                <w:color w:val="auto"/>
                <w:highlight w:val="none"/>
              </w:rPr>
            </w:pPr>
            <w:r>
              <w:rPr>
                <w:rFonts w:hint="eastAsia"/>
                <w:bCs/>
                <w:color w:val="auto"/>
                <w:highlight w:val="none"/>
              </w:rPr>
              <w:t>1、免费送货上门、安装调试，免费培训，安装完成后成交供应商负责清理产生的木箱等垃圾；</w:t>
            </w:r>
          </w:p>
          <w:p>
            <w:pPr>
              <w:spacing w:line="360" w:lineRule="exact"/>
              <w:ind w:right="97" w:rightChars="46"/>
              <w:jc w:val="left"/>
              <w:rPr>
                <w:bCs/>
                <w:color w:val="auto"/>
                <w:highlight w:val="none"/>
              </w:rPr>
            </w:pPr>
            <w:r>
              <w:rPr>
                <w:rFonts w:hint="eastAsia"/>
                <w:bCs/>
                <w:color w:val="auto"/>
                <w:highlight w:val="none"/>
              </w:rPr>
              <w:t>2、竞标人应提出可行的售后服务承诺书；</w:t>
            </w:r>
          </w:p>
          <w:p>
            <w:pPr>
              <w:spacing w:line="360" w:lineRule="exact"/>
              <w:ind w:right="97" w:rightChars="46"/>
              <w:jc w:val="left"/>
              <w:rPr>
                <w:bCs/>
                <w:color w:val="auto"/>
                <w:highlight w:val="none"/>
              </w:rPr>
            </w:pPr>
            <w:r>
              <w:rPr>
                <w:rFonts w:hint="eastAsia"/>
                <w:bCs/>
                <w:color w:val="auto"/>
                <w:highlight w:val="none"/>
              </w:rPr>
              <w:t>3、按厂家承诺实行“三包”；</w:t>
            </w:r>
          </w:p>
          <w:p>
            <w:pPr>
              <w:spacing w:line="360" w:lineRule="exact"/>
              <w:ind w:right="97" w:rightChars="46"/>
              <w:jc w:val="left"/>
              <w:rPr>
                <w:rFonts w:hint="eastAsia"/>
                <w:bCs/>
                <w:color w:val="auto"/>
                <w:highlight w:val="none"/>
              </w:rPr>
            </w:pPr>
            <w:r>
              <w:rPr>
                <w:rFonts w:hint="eastAsia"/>
                <w:bCs/>
                <w:color w:val="auto"/>
                <w:highlight w:val="none"/>
              </w:rPr>
              <w:t>4、竞标报价包括货物的所有费用，包括采购、运输、安装、劳务、管理、利润、税金、保险、协调、培训、售后服务、配送产品以及所有的不定因素的风险等；</w:t>
            </w:r>
          </w:p>
          <w:p>
            <w:pPr>
              <w:pStyle w:val="2"/>
              <w:rPr>
                <w:rFonts w:hint="eastAsia" w:ascii="宋体" w:hAnsi="宋体" w:eastAsia="宋体" w:cs="Arial"/>
                <w:b w:val="0"/>
                <w:bCs/>
                <w:color w:val="auto"/>
                <w:kern w:val="2"/>
                <w:sz w:val="21"/>
                <w:szCs w:val="21"/>
                <w:highlight w:val="none"/>
                <w:lang w:val="en-US" w:eastAsia="zh-CN" w:bidi="ar-SA"/>
              </w:rPr>
            </w:pPr>
            <w:r>
              <w:rPr>
                <w:rFonts w:hint="eastAsia" w:ascii="宋体" w:hAnsi="宋体" w:eastAsia="宋体" w:cs="Arial"/>
                <w:b w:val="0"/>
                <w:bCs/>
                <w:color w:val="auto"/>
                <w:kern w:val="2"/>
                <w:sz w:val="21"/>
                <w:szCs w:val="21"/>
                <w:highlight w:val="none"/>
                <w:lang w:val="en-US" w:eastAsia="zh-CN" w:bidi="ar-SA"/>
              </w:rPr>
              <w:t>5、</w:t>
            </w:r>
            <w:r>
              <w:rPr>
                <w:rFonts w:hint="eastAsia" w:ascii="宋体" w:hAnsi="宋体" w:eastAsia="宋体" w:cs="Arial"/>
                <w:b/>
                <w:bCs w:val="0"/>
                <w:color w:val="auto"/>
                <w:kern w:val="2"/>
                <w:sz w:val="21"/>
                <w:szCs w:val="21"/>
                <w:highlight w:val="none"/>
                <w:lang w:val="en-US" w:eastAsia="zh-CN" w:bidi="ar-SA"/>
              </w:rPr>
              <w:t>如医院有需求，中标公司负责向该产品接入医院的HIS系统，LIS系统，PA</w:t>
            </w:r>
            <w:r>
              <w:rPr>
                <w:rFonts w:hint="eastAsia" w:cs="Arial"/>
                <w:b/>
                <w:bCs w:val="0"/>
                <w:color w:val="auto"/>
                <w:kern w:val="2"/>
                <w:sz w:val="21"/>
                <w:szCs w:val="21"/>
                <w:highlight w:val="none"/>
                <w:lang w:val="en-US" w:eastAsia="zh-CN" w:bidi="ar-SA"/>
              </w:rPr>
              <w:t>S</w:t>
            </w:r>
            <w:r>
              <w:rPr>
                <w:rFonts w:hint="eastAsia" w:ascii="宋体" w:hAnsi="宋体" w:eastAsia="宋体" w:cs="Arial"/>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bCs/>
                <w:color w:val="auto"/>
                <w:highlight w:val="none"/>
              </w:rPr>
            </w:pPr>
            <w:r>
              <w:rPr>
                <w:rFonts w:hint="eastAsia"/>
                <w:bCs/>
                <w:color w:val="auto"/>
                <w:highlight w:val="none"/>
                <w:lang w:val="en-US" w:eastAsia="zh-CN"/>
              </w:rPr>
              <w:t>6</w:t>
            </w:r>
            <w:r>
              <w:rPr>
                <w:rFonts w:hint="eastAsia"/>
                <w:bCs/>
                <w:color w:val="auto"/>
                <w:highlight w:val="none"/>
              </w:rPr>
              <w:t>、备件、技术及维修服务，培训要求及其它：</w:t>
            </w:r>
          </w:p>
          <w:p>
            <w:pPr>
              <w:spacing w:line="360" w:lineRule="exact"/>
              <w:ind w:right="97" w:rightChars="46"/>
              <w:jc w:val="left"/>
              <w:rPr>
                <w:bCs/>
                <w:color w:val="auto"/>
                <w:highlight w:val="none"/>
              </w:rPr>
            </w:pPr>
            <w:r>
              <w:rPr>
                <w:rFonts w:hint="eastAsia"/>
                <w:bCs/>
                <w:color w:val="auto"/>
                <w:highlight w:val="none"/>
              </w:rPr>
              <w:t>（1）备件要求：竞标人或厂家应在用户当地或省会中心城市设置备件库，存入所有必须的备件，保证必要时可以及时供应；</w:t>
            </w:r>
          </w:p>
          <w:p>
            <w:pPr>
              <w:spacing w:line="360" w:lineRule="exact"/>
              <w:ind w:right="97" w:rightChars="46"/>
              <w:jc w:val="left"/>
              <w:rPr>
                <w:bCs/>
                <w:color w:val="auto"/>
                <w:highlight w:val="none"/>
              </w:rPr>
            </w:pPr>
            <w:r>
              <w:rPr>
                <w:rFonts w:hint="eastAsia"/>
                <w:bCs/>
                <w:color w:val="auto"/>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bCs/>
                <w:color w:val="auto"/>
                <w:highlight w:val="none"/>
              </w:rPr>
            </w:pPr>
            <w:r>
              <w:rPr>
                <w:rFonts w:hint="eastAsia"/>
                <w:bCs/>
                <w:color w:val="auto"/>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bCs/>
                <w:color w:val="auto"/>
                <w:highlight w:val="none"/>
              </w:rPr>
              <w:t>（4）质保期内设备发生故障时，现场响应时间</w:t>
            </w:r>
            <w:r>
              <w:rPr>
                <w:rFonts w:hint="eastAsia"/>
                <w:bCs/>
                <w:color w:val="auto"/>
                <w:highlight w:val="none"/>
                <w:lang w:val="en-US" w:eastAsia="zh-CN"/>
              </w:rPr>
              <w:t>24</w:t>
            </w:r>
            <w:r>
              <w:rPr>
                <w:rFonts w:hint="eastAsia"/>
                <w:bCs/>
                <w:color w:val="auto"/>
                <w:highlight w:val="none"/>
              </w:rPr>
              <w:t>小时以内，维修响应时间小于</w:t>
            </w:r>
            <w:r>
              <w:rPr>
                <w:rFonts w:hint="eastAsia"/>
                <w:bCs/>
                <w:color w:val="auto"/>
                <w:highlight w:val="none"/>
                <w:lang w:val="en-US" w:eastAsia="zh-CN"/>
              </w:rPr>
              <w:t>24</w:t>
            </w:r>
            <w:r>
              <w:rPr>
                <w:rFonts w:hint="eastAsia"/>
                <w:bCs/>
                <w:color w:val="auto"/>
                <w:highlight w:val="none"/>
              </w:rPr>
              <w:t>小时，工程师到场时间小于</w:t>
            </w:r>
            <w:r>
              <w:rPr>
                <w:rFonts w:hint="eastAsia"/>
                <w:bCs/>
                <w:color w:val="auto"/>
                <w:highlight w:val="none"/>
                <w:lang w:val="en-US" w:eastAsia="zh-CN"/>
              </w:rPr>
              <w:t>36</w:t>
            </w:r>
            <w:r>
              <w:rPr>
                <w:rFonts w:hint="eastAsia"/>
                <w:bCs/>
                <w:color w:val="auto"/>
                <w:highlight w:val="none"/>
              </w:rPr>
              <w:t>小时，维修中所需要零配件供应最长时间不超过7天。特殊情况无法到达须提前与科室或设备主管科室沟通。如需更换配件，则小配件</w:t>
            </w:r>
            <w:r>
              <w:rPr>
                <w:rFonts w:hint="eastAsia"/>
                <w:bCs/>
                <w:color w:val="auto"/>
                <w:highlight w:val="none"/>
                <w:lang w:val="en-US" w:eastAsia="zh-CN"/>
              </w:rPr>
              <w:t>7</w:t>
            </w:r>
            <w:r>
              <w:rPr>
                <w:rFonts w:hint="eastAsia"/>
                <w:bCs/>
                <w:color w:val="auto"/>
                <w:highlight w:val="none"/>
              </w:rPr>
              <w:t>个工作日内更换完毕，大配件</w:t>
            </w:r>
            <w:r>
              <w:rPr>
                <w:rFonts w:hint="eastAsia"/>
                <w:bCs/>
                <w:color w:val="auto"/>
                <w:highlight w:val="none"/>
                <w:lang w:val="en-US" w:eastAsia="zh-CN"/>
              </w:rPr>
              <w:t>15</w:t>
            </w:r>
            <w:r>
              <w:rPr>
                <w:rFonts w:hint="eastAsia"/>
                <w:bCs/>
                <w:color w:val="auto"/>
                <w:highlight w:val="none"/>
              </w:rPr>
              <w:t>个工作日内更换完毕，当配件等待周期大于</w:t>
            </w:r>
            <w:r>
              <w:rPr>
                <w:rFonts w:hint="eastAsia"/>
                <w:bCs/>
                <w:color w:val="auto"/>
                <w:highlight w:val="none"/>
                <w:lang w:val="en-US" w:eastAsia="zh-CN"/>
              </w:rPr>
              <w:t>15</w:t>
            </w:r>
            <w:r>
              <w:rPr>
                <w:rFonts w:hint="eastAsia"/>
                <w:bCs/>
                <w:color w:val="auto"/>
                <w:highlight w:val="none"/>
              </w:rPr>
              <w:t>个工作日时，成交供应商应按照科室要求提供备用机。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4809"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bCs/>
                <w:color w:val="auto"/>
                <w:highlight w:val="none"/>
              </w:rPr>
            </w:pPr>
            <w:r>
              <w:rPr>
                <w:rFonts w:hint="eastAsia" w:cs="Calibri"/>
                <w:color w:val="auto"/>
                <w:highlight w:val="none"/>
              </w:rPr>
              <w:t>1、</w:t>
            </w:r>
            <w:r>
              <w:rPr>
                <w:bCs/>
                <w:color w:val="auto"/>
                <w:highlight w:val="none"/>
              </w:rPr>
              <w:t>成交供应商保证向采购人提供的货物是全新、完整、未使用过的</w:t>
            </w:r>
            <w:r>
              <w:rPr>
                <w:rFonts w:hint="eastAsia"/>
                <w:bCs/>
                <w:color w:val="auto"/>
                <w:highlight w:val="none"/>
              </w:rPr>
              <w:t>。</w:t>
            </w:r>
          </w:p>
          <w:p>
            <w:pPr>
              <w:spacing w:line="360" w:lineRule="exact"/>
              <w:ind w:right="97" w:rightChars="46"/>
              <w:jc w:val="left"/>
              <w:rPr>
                <w:bCs/>
                <w:color w:val="auto"/>
                <w:highlight w:val="none"/>
              </w:rPr>
            </w:pPr>
            <w:r>
              <w:rPr>
                <w:rFonts w:hint="eastAsia"/>
                <w:bCs/>
                <w:color w:val="auto"/>
                <w:highlight w:val="none"/>
              </w:rPr>
              <w:t>2、竞标时提供竞标产品彩色图片或说明书。</w:t>
            </w:r>
          </w:p>
          <w:p>
            <w:pPr>
              <w:spacing w:line="360" w:lineRule="exact"/>
              <w:ind w:right="97" w:rightChars="46"/>
              <w:jc w:val="left"/>
              <w:rPr>
                <w:bCs/>
                <w:color w:val="auto"/>
                <w:highlight w:val="none"/>
              </w:rPr>
            </w:pPr>
            <w:r>
              <w:rPr>
                <w:rFonts w:hint="eastAsia"/>
                <w:color w:val="auto"/>
                <w:highlight w:val="none"/>
              </w:rPr>
              <w:t>3、</w:t>
            </w:r>
            <w:r>
              <w:rPr>
                <w:rFonts w:hint="eastAsia"/>
                <w:bCs/>
                <w:color w:val="auto"/>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cs="Calibri"/>
                <w:color w:val="auto"/>
                <w:szCs w:val="24"/>
                <w:highlight w:val="none"/>
              </w:rPr>
              <w:t>4</w:t>
            </w:r>
            <w:r>
              <w:rPr>
                <w:rFonts w:hint="eastAsia" w:cs="Calibri"/>
                <w:color w:val="auto"/>
                <w:szCs w:val="24"/>
                <w:highlight w:val="none"/>
              </w:rPr>
              <w:t>、采购人在货物交货验收阶段发现货物的技术参数指标达不到采购文件该货物技术参数</w:t>
            </w:r>
            <w:r>
              <w:rPr>
                <w:rFonts w:hint="eastAsia" w:ascii="Calibri" w:cs="Calibri"/>
                <w:color w:val="auto"/>
                <w:szCs w:val="24"/>
                <w:highlight w:val="none"/>
              </w:rPr>
              <w:t>要求的，属虚假应标行为，采购人将终止合同拒收货物，追究该成交单位违约责任，赔偿采购人因采购时间延长造成采购人经济等方面损失。</w:t>
            </w:r>
          </w:p>
        </w:tc>
      </w:tr>
      <w:bookmarkEnd w:id="1"/>
    </w:tbl>
    <w:p>
      <w:pPr>
        <w:rPr>
          <w:color w:val="auto"/>
          <w:highlight w:val="none"/>
        </w:rPr>
      </w:pPr>
    </w:p>
    <w:sectPr>
      <w:pgSz w:w="11906" w:h="16838"/>
      <w:pgMar w:top="1134" w:right="1134" w:bottom="1134" w:left="1134" w:header="851" w:footer="992" w:gutter="0"/>
      <w:paperSrc/>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54C927BE"/>
    <w:rsid w:val="54C92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index 4"/>
    <w:basedOn w:val="1"/>
    <w:next w:val="1"/>
    <w:unhideWhenUsed/>
    <w:qFormat/>
    <w:uiPriority w:val="99"/>
    <w:rPr>
      <w:b/>
      <w:sz w:val="24"/>
      <w:lang w:val="zh-CN"/>
    </w:rPr>
  </w:style>
  <w:style w:type="paragraph" w:customStyle="1" w:styleId="5">
    <w:name w:val="大目录"/>
    <w:basedOn w:val="1"/>
    <w:qFormat/>
    <w:uiPriority w:val="0"/>
    <w:pPr>
      <w:spacing w:line="540" w:lineRule="exact"/>
      <w:jc w:val="center"/>
    </w:pPr>
    <w:rPr>
      <w:b/>
      <w:sz w:val="48"/>
      <w:szCs w:val="48"/>
    </w:rPr>
  </w:style>
  <w:style w:type="paragraph" w:styleId="6">
    <w:name w:val="List Paragraph"/>
    <w:basedOn w:val="1"/>
    <w:qFormat/>
    <w:uiPriority w:val="34"/>
    <w:pPr>
      <w:ind w:firstLine="420" w:firstLineChars="200"/>
    </w:pPr>
    <w:rPr>
      <w:rFonts w:ascii="Calibri" w:hAnsi="Calibri"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2023-10-12T01:17:00Z</dcterms:created>
  <dc:creator>池塘</dc:creator>
  <cp:lastModifiedBy>池塘</cp:lastModifiedBy>
  <dcterms:modified xsi:type="dcterms:W3CDTF">2023-10-12T01:18:31Z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9C05B16C4A39445680B8AEE726A3BE4E_11</vt:lpwstr>
  </property>
</Properties>
</file>