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numPr>
          <w:ilvl w:val="0"/>
          <w:numId w:val="1"/>
        </w:numPr>
        <w:outlineLvl w:val="0"/>
        <w:rPr>
          <w:color w:val="auto"/>
          <w:sz w:val="32"/>
          <w:szCs w:val="32"/>
          <w:highlight w:val="none"/>
        </w:rPr>
      </w:pPr>
      <w:r>
        <w:rPr>
          <w:rFonts w:hint="eastAsia"/>
          <w:color w:val="auto"/>
          <w:sz w:val="32"/>
          <w:szCs w:val="32"/>
          <w:highlight w:val="none"/>
        </w:rPr>
        <w:t>货物需求一览表</w:t>
      </w:r>
    </w:p>
    <w:p>
      <w:pPr>
        <w:adjustRightInd w:val="0"/>
        <w:spacing w:line="340" w:lineRule="exact"/>
        <w:rPr>
          <w:b/>
          <w:color w:val="auto"/>
          <w:highlight w:val="none"/>
        </w:rPr>
      </w:pPr>
      <w:bookmarkStart w:id="0" w:name="_Hlk58056859"/>
      <w:r>
        <w:rPr>
          <w:rFonts w:hint="eastAsia"/>
          <w:b/>
          <w:color w:val="auto"/>
          <w:highlight w:val="none"/>
        </w:rPr>
        <w:t>说明：</w:t>
      </w:r>
    </w:p>
    <w:bookmarkEnd w:id="0"/>
    <w:p>
      <w:pPr>
        <w:adjustRightInd w:val="0"/>
        <w:spacing w:line="340" w:lineRule="exact"/>
        <w:ind w:left="6" w:firstLine="431"/>
        <w:rPr>
          <w:rFonts w:hAnsi="Times New Roman"/>
          <w:color w:val="auto"/>
          <w:highlight w:val="none"/>
        </w:rPr>
      </w:pPr>
      <w:r>
        <w:rPr>
          <w:rFonts w:hint="eastAsia" w:hAnsi="Times New Roman"/>
          <w:color w:val="auto"/>
          <w:highlight w:val="none"/>
        </w:rPr>
        <w:t>1、本货物需求一览表中所列的品牌、型号仅起参考作用，竞标人可选用其他品牌、型号替代，但替代的品牌、型号在实质性要求和条件上要相当于或优于参考品牌、型号。</w:t>
      </w:r>
    </w:p>
    <w:p>
      <w:pPr>
        <w:adjustRightInd w:val="0"/>
        <w:spacing w:line="340" w:lineRule="exact"/>
        <w:ind w:left="6" w:firstLine="431"/>
        <w:rPr>
          <w:rFonts w:hAnsi="Times New Roman"/>
          <w:color w:val="auto"/>
          <w:highlight w:val="none"/>
        </w:rPr>
      </w:pPr>
      <w:r>
        <w:rPr>
          <w:rFonts w:hint="eastAsia" w:hAnsi="Times New Roman"/>
          <w:color w:val="auto"/>
          <w:highlight w:val="none"/>
        </w:rPr>
        <w:t>2、凡在“技术参数要求”中表述为“标配”或“标准配置”的设备，竞标人应按第五章“竞标文件格式”规定的格式在“竞标产品技术资料表”中将其参数详细列明。</w:t>
      </w:r>
    </w:p>
    <w:p>
      <w:pPr>
        <w:spacing w:line="360" w:lineRule="exact"/>
        <w:ind w:left="-10" w:leftChars="-5" w:right="2" w:rightChars="1" w:firstLine="422" w:firstLineChars="200"/>
        <w:rPr>
          <w:rFonts w:cs="Calibri"/>
          <w:b/>
          <w:color w:val="auto"/>
          <w:highlight w:val="none"/>
        </w:rPr>
      </w:pPr>
      <w:r>
        <w:rPr>
          <w:rFonts w:hint="eastAsia" w:cs="Calibri"/>
          <w:b/>
          <w:color w:val="auto"/>
          <w:highlight w:val="none"/>
        </w:rPr>
        <w:t>4、标注</w:t>
      </w:r>
      <w:r>
        <w:rPr>
          <w:rFonts w:hint="eastAsia" w:cs="宋体"/>
          <w:bCs/>
          <w:color w:val="auto"/>
          <w:highlight w:val="none"/>
        </w:rPr>
        <w:t>▲</w:t>
      </w:r>
      <w:r>
        <w:rPr>
          <w:rFonts w:hint="eastAsia" w:cs="Calibri"/>
          <w:b/>
          <w:bCs/>
          <w:color w:val="auto"/>
          <w:szCs w:val="24"/>
          <w:highlight w:val="none"/>
        </w:rPr>
        <w:t>号条款为实质性内容要求，竞标时必须满足，否则视为无效竞标。未标</w:t>
      </w:r>
      <w:r>
        <w:rPr>
          <w:rFonts w:hint="eastAsia" w:cs="宋体"/>
          <w:bCs/>
          <w:color w:val="auto"/>
          <w:highlight w:val="none"/>
        </w:rPr>
        <w:t>▲</w:t>
      </w:r>
      <w:r>
        <w:rPr>
          <w:rFonts w:hint="eastAsia" w:cs="Calibri"/>
          <w:b/>
          <w:bCs/>
          <w:color w:val="auto"/>
          <w:szCs w:val="24"/>
          <w:highlight w:val="none"/>
        </w:rPr>
        <w:t>号条款为一般性参数指标，负偏离达</w:t>
      </w:r>
      <w:r>
        <w:rPr>
          <w:rFonts w:hint="eastAsia" w:cs="Calibri"/>
          <w:b/>
          <w:bCs/>
          <w:color w:val="auto"/>
          <w:szCs w:val="24"/>
          <w:highlight w:val="none"/>
          <w:lang w:val="en-US" w:eastAsia="zh-CN"/>
        </w:rPr>
        <w:t>1</w:t>
      </w:r>
      <w:r>
        <w:rPr>
          <w:rFonts w:hint="eastAsia" w:cs="Calibri"/>
          <w:b/>
          <w:bCs/>
          <w:color w:val="auto"/>
          <w:szCs w:val="24"/>
          <w:highlight w:val="none"/>
        </w:rPr>
        <w:t>项（含）以上的，竞标文件将被视为无效。</w:t>
      </w:r>
    </w:p>
    <w:p>
      <w:pPr>
        <w:spacing w:line="320" w:lineRule="exact"/>
        <w:ind w:firstLine="424" w:firstLineChars="202"/>
        <w:jc w:val="left"/>
        <w:rPr>
          <w:rFonts w:hAnsi="Times New Roman" w:cs="Calibri"/>
          <w:color w:val="auto"/>
          <w:highlight w:val="none"/>
        </w:rPr>
      </w:pPr>
      <w:r>
        <w:rPr>
          <w:rFonts w:hint="eastAsia" w:hAnsi="Times New Roman" w:cs="Calibri"/>
          <w:color w:val="auto"/>
          <w:highlight w:val="none"/>
        </w:rPr>
        <w:t>5、竞争性谈判文件中所要求提供的证明材料，如为英文文本的请同时提供中文译本。</w:t>
      </w:r>
    </w:p>
    <w:p>
      <w:pPr>
        <w:spacing w:line="320" w:lineRule="exact"/>
        <w:ind w:firstLine="424" w:firstLineChars="202"/>
        <w:jc w:val="left"/>
        <w:rPr>
          <w:rFonts w:hint="eastAsia" w:hAnsi="Times New Roman" w:cs="Calibri"/>
          <w:bCs/>
          <w:color w:val="auto"/>
          <w:highlight w:val="none"/>
        </w:rPr>
      </w:pPr>
      <w:r>
        <w:rPr>
          <w:rFonts w:hint="eastAsia" w:hAnsi="Times New Roman" w:cs="Calibri"/>
          <w:bCs/>
          <w:color w:val="auto"/>
          <w:highlight w:val="none"/>
        </w:rPr>
        <w:t>6、竞标人所竞标货物如国家有强制性要求的应按国家规定执行，并提供相关证明材料。</w:t>
      </w:r>
    </w:p>
    <w:tbl>
      <w:tblPr>
        <w:tblStyle w:val="3"/>
        <w:tblW w:w="9443" w:type="dxa"/>
        <w:tblInd w:w="-3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0"/>
        <w:gridCol w:w="1563"/>
        <w:gridCol w:w="860"/>
        <w:gridCol w:w="1419"/>
        <w:gridCol w:w="507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443" w:type="dxa"/>
            <w:gridSpan w:val="5"/>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eastAsia="宋体" w:cs="宋体"/>
                <w:b/>
                <w:color w:val="auto"/>
                <w:sz w:val="21"/>
                <w:szCs w:val="21"/>
                <w:highlight w:val="none"/>
              </w:rPr>
            </w:pPr>
            <w:bookmarkStart w:id="1" w:name="_Hlk59224159"/>
            <w:r>
              <w:rPr>
                <w:rFonts w:hint="eastAsia" w:ascii="宋体" w:hAnsi="宋体" w:eastAsia="宋体" w:cs="宋体"/>
                <w:b/>
                <w:color w:val="auto"/>
                <w:sz w:val="21"/>
                <w:szCs w:val="21"/>
                <w:highlight w:val="none"/>
              </w:rPr>
              <w:t>一、项目要求及技术需求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序号</w:t>
            </w:r>
          </w:p>
        </w:tc>
        <w:tc>
          <w:tcPr>
            <w:tcW w:w="1563"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采购内容</w:t>
            </w:r>
          </w:p>
        </w:tc>
        <w:tc>
          <w:tcPr>
            <w:tcW w:w="86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141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采购预算单价（万元）</w:t>
            </w:r>
          </w:p>
        </w:tc>
        <w:tc>
          <w:tcPr>
            <w:tcW w:w="507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项目要求及技术需求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w:t>
            </w:r>
          </w:p>
        </w:tc>
        <w:tc>
          <w:tcPr>
            <w:tcW w:w="1563"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主动脉内球囊反搏泵</w:t>
            </w:r>
          </w:p>
        </w:tc>
        <w:tc>
          <w:tcPr>
            <w:tcW w:w="860" w:type="dxa"/>
            <w:tcBorders>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cs="宋体"/>
                <w:b w:val="0"/>
                <w:bCs/>
                <w:color w:val="auto"/>
                <w:kern w:val="0"/>
                <w:sz w:val="21"/>
                <w:szCs w:val="21"/>
                <w:highlight w:val="none"/>
                <w:lang w:val="en-US" w:eastAsia="zh-CN"/>
              </w:rPr>
              <w:t>1套</w:t>
            </w:r>
          </w:p>
        </w:tc>
        <w:tc>
          <w:tcPr>
            <w:tcW w:w="141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default" w:ascii="宋体" w:hAnsi="宋体" w:eastAsia="宋体" w:cs="宋体"/>
                <w:b w:val="0"/>
                <w:bCs/>
                <w:color w:val="auto"/>
                <w:kern w:val="0"/>
                <w:sz w:val="21"/>
                <w:szCs w:val="21"/>
                <w:highlight w:val="none"/>
                <w:lang w:val="en-US" w:eastAsia="zh-CN"/>
              </w:rPr>
            </w:pPr>
            <w:r>
              <w:rPr>
                <w:rFonts w:hint="eastAsia" w:cs="宋体"/>
                <w:color w:val="auto"/>
                <w:sz w:val="21"/>
                <w:szCs w:val="21"/>
                <w:highlight w:val="none"/>
                <w:lang w:val="en-US" w:eastAsia="zh-CN"/>
              </w:rPr>
              <w:t>94</w:t>
            </w:r>
          </w:p>
        </w:tc>
        <w:tc>
          <w:tcPr>
            <w:tcW w:w="507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电源</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交流电源：电源范围110V-240V；</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ab/>
            </w:r>
            <w:r>
              <w:rPr>
                <w:rFonts w:hint="eastAsia" w:ascii="宋体" w:hAnsi="宋体" w:eastAsia="宋体" w:cs="宋体"/>
                <w:sz w:val="21"/>
                <w:szCs w:val="21"/>
                <w:highlight w:val="none"/>
              </w:rPr>
              <w:t>电池供电：充满后可工作60分钟以上</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显示</w:t>
            </w:r>
            <w:r>
              <w:rPr>
                <w:rFonts w:hint="eastAsia" w:ascii="宋体" w:hAnsi="宋体" w:eastAsia="宋体" w:cs="宋体"/>
                <w:sz w:val="21"/>
                <w:szCs w:val="21"/>
                <w:highlight w:val="none"/>
              </w:rPr>
              <w:tab/>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显示器：单一的，约13吋触摸屏</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ab/>
            </w:r>
            <w:r>
              <w:rPr>
                <w:rFonts w:hint="eastAsia" w:ascii="宋体" w:hAnsi="宋体" w:eastAsia="宋体" w:cs="宋体"/>
                <w:sz w:val="21"/>
                <w:szCs w:val="21"/>
                <w:highlight w:val="none"/>
              </w:rPr>
              <w:t>显示语言：中/英文可选</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ab/>
            </w:r>
            <w:r>
              <w:rPr>
                <w:rFonts w:hint="eastAsia" w:ascii="宋体" w:hAnsi="宋体" w:eastAsia="宋体" w:cs="宋体"/>
                <w:sz w:val="21"/>
                <w:szCs w:val="21"/>
                <w:highlight w:val="none"/>
              </w:rPr>
              <w:t>波形显示：ECG，AP，BP波形；ECG可以显示充气间隔；可以精确显示导管压力</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ab/>
            </w:r>
            <w:r>
              <w:rPr>
                <w:rFonts w:hint="eastAsia" w:ascii="宋体" w:hAnsi="宋体" w:eastAsia="宋体" w:cs="宋体"/>
                <w:sz w:val="21"/>
                <w:szCs w:val="21"/>
                <w:highlight w:val="none"/>
              </w:rPr>
              <w:t>生理数据：心率，被辅助收缩压／舒张压／平均压／反搏压，无辅助收缩压／舒张压／平均压</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ab/>
            </w:r>
            <w:r>
              <w:rPr>
                <w:rFonts w:hint="eastAsia" w:ascii="宋体" w:hAnsi="宋体" w:eastAsia="宋体" w:cs="宋体"/>
                <w:sz w:val="21"/>
                <w:szCs w:val="21"/>
                <w:highlight w:val="none"/>
              </w:rPr>
              <w:t>图标显示：电池容量，氦气瓶容量；可以显示氦气瓶压力数值</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ab/>
            </w:r>
            <w:r>
              <w:rPr>
                <w:rFonts w:hint="eastAsia" w:ascii="宋体" w:hAnsi="宋体" w:eastAsia="宋体" w:cs="宋体"/>
                <w:sz w:val="21"/>
                <w:szCs w:val="21"/>
                <w:highlight w:val="none"/>
              </w:rPr>
              <w:t>可以精确显示导管充气量</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ab/>
            </w:r>
            <w:r>
              <w:rPr>
                <w:rFonts w:hint="eastAsia" w:ascii="宋体" w:hAnsi="宋体" w:eastAsia="宋体" w:cs="宋体"/>
                <w:sz w:val="21"/>
                <w:szCs w:val="21"/>
                <w:highlight w:val="none"/>
              </w:rPr>
              <w:t>报警显示：报警信息按照高级（红色），中级（黄色），低级（蓝色）分级显示；文字提示报警信息；报警角可以３６０度可见，可以暂停声音报警</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控制</w:t>
            </w:r>
            <w:r>
              <w:rPr>
                <w:rFonts w:hint="eastAsia" w:ascii="宋体" w:hAnsi="宋体" w:eastAsia="宋体" w:cs="宋体"/>
                <w:sz w:val="21"/>
                <w:szCs w:val="21"/>
                <w:highlight w:val="none"/>
              </w:rPr>
              <w:tab/>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单一触摸屏控制；按键控制；报警角控制</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ab/>
            </w:r>
            <w:r>
              <w:rPr>
                <w:rFonts w:hint="eastAsia" w:ascii="宋体" w:hAnsi="宋体" w:eastAsia="宋体" w:cs="宋体"/>
                <w:sz w:val="21"/>
                <w:szCs w:val="21"/>
                <w:highlight w:val="none"/>
              </w:rPr>
              <w:t>关键/常用功能双重控制：触摸屏/按键：辅助启动，辅助频率，屏幕冻结，打印，参考线设置</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工作模式</w:t>
            </w:r>
            <w:r>
              <w:rPr>
                <w:rFonts w:hint="eastAsia" w:ascii="宋体" w:hAnsi="宋体" w:eastAsia="宋体" w:cs="宋体"/>
                <w:sz w:val="21"/>
                <w:szCs w:val="21"/>
                <w:highlight w:val="none"/>
              </w:rPr>
              <w:tab/>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自动／手动；</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工作模式转换过程不影响正常反搏；</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工作模式转换，设备自动保留原有设置</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ab/>
            </w:r>
            <w:r>
              <w:rPr>
                <w:rFonts w:hint="eastAsia" w:ascii="宋体" w:hAnsi="宋体" w:eastAsia="宋体" w:cs="宋体"/>
                <w:sz w:val="21"/>
                <w:szCs w:val="21"/>
                <w:highlight w:val="none"/>
              </w:rPr>
              <w:t>自动模式：自动选择信号源；自动选择触发模式（5种以上）；自动选择时相算法；实时评估ECG导联状态；自动选择最佳ECG导联（6种以上）</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ab/>
            </w:r>
            <w:r>
              <w:rPr>
                <w:rFonts w:hint="eastAsia" w:ascii="宋体" w:hAnsi="宋体" w:eastAsia="宋体" w:cs="宋体"/>
                <w:sz w:val="21"/>
                <w:szCs w:val="21"/>
                <w:highlight w:val="none"/>
              </w:rPr>
              <w:t>手动模式：可以选择信号源；选择触发模式；调整时相；选择ECG导联</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触发模式</w:t>
            </w:r>
            <w:r>
              <w:rPr>
                <w:rFonts w:hint="eastAsia" w:ascii="宋体" w:hAnsi="宋体" w:eastAsia="宋体" w:cs="宋体"/>
                <w:sz w:val="21"/>
                <w:szCs w:val="21"/>
                <w:highlight w:val="none"/>
              </w:rPr>
              <w:tab/>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多种：Pattern／Peak/Aifb／起搏器V／A-V／起搏器A／AP／机内设置</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ab/>
            </w:r>
            <w:r>
              <w:rPr>
                <w:rFonts w:hint="eastAsia" w:ascii="宋体" w:hAnsi="宋体" w:eastAsia="宋体" w:cs="宋体"/>
                <w:sz w:val="21"/>
                <w:szCs w:val="21"/>
                <w:highlight w:val="none"/>
              </w:rPr>
              <w:t>Pattern模式：适合窦性，慢心率（＜130次/分钟）</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ab/>
            </w:r>
            <w:r>
              <w:rPr>
                <w:rFonts w:hint="eastAsia" w:ascii="宋体" w:hAnsi="宋体" w:eastAsia="宋体" w:cs="宋体"/>
                <w:sz w:val="21"/>
                <w:szCs w:val="21"/>
                <w:highlight w:val="none"/>
              </w:rPr>
              <w:t>Peak模式：高心率（＞130次/分钟）或部分房颤心律（R波排不安全）</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ab/>
            </w:r>
            <w:r>
              <w:rPr>
                <w:rFonts w:hint="eastAsia" w:ascii="宋体" w:hAnsi="宋体" w:eastAsia="宋体" w:cs="宋体"/>
                <w:sz w:val="21"/>
                <w:szCs w:val="21"/>
                <w:highlight w:val="none"/>
              </w:rPr>
              <w:t>Aifb模式：房颤心律（结合R波排气安全分析的结果，自动开启/关闭Afib模式）</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ab/>
            </w:r>
            <w:r>
              <w:rPr>
                <w:rFonts w:hint="eastAsia" w:ascii="宋体" w:hAnsi="宋体" w:eastAsia="宋体" w:cs="宋体"/>
                <w:sz w:val="21"/>
                <w:szCs w:val="21"/>
                <w:highlight w:val="none"/>
              </w:rPr>
              <w:t>起搏器V／A-V：心室起搏器</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ab/>
            </w:r>
            <w:r>
              <w:rPr>
                <w:rFonts w:hint="eastAsia" w:ascii="宋体" w:hAnsi="宋体" w:eastAsia="宋体" w:cs="宋体"/>
                <w:sz w:val="21"/>
                <w:szCs w:val="21"/>
                <w:highlight w:val="none"/>
              </w:rPr>
              <w:t>起搏器A：新房起搏器</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ab/>
            </w:r>
            <w:r>
              <w:rPr>
                <w:rFonts w:hint="eastAsia" w:ascii="宋体" w:hAnsi="宋体" w:eastAsia="宋体" w:cs="宋体"/>
                <w:sz w:val="21"/>
                <w:szCs w:val="21"/>
                <w:highlight w:val="none"/>
              </w:rPr>
              <w:t>AP：压力搏动</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ab/>
            </w:r>
            <w:r>
              <w:rPr>
                <w:rFonts w:hint="eastAsia" w:ascii="宋体" w:hAnsi="宋体" w:eastAsia="宋体" w:cs="宋体"/>
                <w:sz w:val="21"/>
                <w:szCs w:val="21"/>
                <w:highlight w:val="none"/>
              </w:rPr>
              <w:t>机内设置：机器设置固定频率</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排气分析</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实时计算排气速度，评估R波排气安全性</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辅助频率多种：1:1/1:2/1:4/1:8</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动力系统</w:t>
            </w:r>
            <w:r>
              <w:rPr>
                <w:rFonts w:hint="eastAsia" w:ascii="宋体" w:hAnsi="宋体" w:eastAsia="宋体" w:cs="宋体"/>
                <w:sz w:val="21"/>
                <w:szCs w:val="21"/>
                <w:highlight w:val="none"/>
              </w:rPr>
              <w:tab/>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驱动方式：步进式马达加钛合金风箱</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ab/>
            </w:r>
            <w:r>
              <w:rPr>
                <w:rFonts w:hint="eastAsia" w:ascii="宋体" w:hAnsi="宋体" w:eastAsia="宋体" w:cs="宋体"/>
                <w:sz w:val="21"/>
                <w:szCs w:val="21"/>
                <w:highlight w:val="none"/>
              </w:rPr>
              <w:t>增压系统</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ab/>
            </w:r>
            <w:r>
              <w:rPr>
                <w:rFonts w:hint="eastAsia" w:ascii="宋体" w:hAnsi="宋体" w:eastAsia="宋体" w:cs="宋体"/>
                <w:sz w:val="21"/>
                <w:szCs w:val="21"/>
                <w:highlight w:val="none"/>
              </w:rPr>
              <w:t>反搏频率：可达２００次／分钟</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ab/>
            </w:r>
            <w:r>
              <w:rPr>
                <w:rFonts w:hint="eastAsia" w:ascii="宋体" w:hAnsi="宋体" w:eastAsia="宋体" w:cs="宋体"/>
                <w:sz w:val="21"/>
                <w:szCs w:val="21"/>
                <w:highlight w:val="none"/>
              </w:rPr>
              <w:t>反搏容量：０－５０毫升，可精确调整，调整精度０.５毫升</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ab/>
            </w:r>
            <w:r>
              <w:rPr>
                <w:rFonts w:hint="eastAsia" w:ascii="宋体" w:hAnsi="宋体" w:eastAsia="宋体" w:cs="宋体"/>
                <w:sz w:val="21"/>
                <w:szCs w:val="21"/>
                <w:highlight w:val="none"/>
              </w:rPr>
              <w:t>除水：每２０分钟一次；自动完成，不影响正常辅助</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ab/>
            </w:r>
            <w:r>
              <w:rPr>
                <w:rFonts w:hint="eastAsia" w:ascii="宋体" w:hAnsi="宋体" w:eastAsia="宋体" w:cs="宋体"/>
                <w:sz w:val="21"/>
                <w:szCs w:val="21"/>
                <w:highlight w:val="none"/>
              </w:rPr>
              <w:t>气体补充：自动补充</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ab/>
            </w:r>
            <w:r>
              <w:rPr>
                <w:rFonts w:hint="eastAsia" w:ascii="宋体" w:hAnsi="宋体" w:eastAsia="宋体" w:cs="宋体"/>
                <w:sz w:val="21"/>
                <w:szCs w:val="21"/>
                <w:highlight w:val="none"/>
              </w:rPr>
              <w:t>驱动气体：氦气；可用一次性氦气瓶或重复使用氦气瓶</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rPr>
              <w:t>辅助功能</w:t>
            </w:r>
            <w:r>
              <w:rPr>
                <w:rFonts w:hint="eastAsia" w:ascii="宋体" w:hAnsi="宋体" w:eastAsia="宋体" w:cs="宋体"/>
                <w:sz w:val="21"/>
                <w:szCs w:val="21"/>
                <w:highlight w:val="none"/>
              </w:rPr>
              <w:tab/>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患者数据报告：可以显示并打印记录全部反搏相关的患者信息</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ab/>
            </w:r>
            <w:r>
              <w:rPr>
                <w:rFonts w:hint="eastAsia" w:ascii="宋体" w:hAnsi="宋体" w:eastAsia="宋体" w:cs="宋体"/>
                <w:sz w:val="21"/>
                <w:szCs w:val="21"/>
                <w:highlight w:val="none"/>
              </w:rPr>
              <w:t>开机自检清单:清单式提示功能自检结果</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ab/>
            </w:r>
            <w:r>
              <w:rPr>
                <w:rFonts w:hint="eastAsia" w:ascii="宋体" w:hAnsi="宋体" w:eastAsia="宋体" w:cs="宋体"/>
                <w:sz w:val="21"/>
                <w:szCs w:val="21"/>
                <w:highlight w:val="none"/>
              </w:rPr>
              <w:t>报警历史记录：可以显示并打印最近约100次报警</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10</w:t>
            </w:r>
            <w:r>
              <w:rPr>
                <w:rFonts w:hint="eastAsia" w:ascii="宋体" w:hAnsi="宋体" w:eastAsia="宋体" w:cs="宋体"/>
                <w:sz w:val="21"/>
                <w:szCs w:val="21"/>
                <w:highlight w:val="none"/>
              </w:rPr>
              <w:t>使用成本</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设备日常保养，无需定期更换配件</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产品配置单</w:t>
            </w:r>
          </w:p>
          <w:tbl>
            <w:tblPr>
              <w:tblStyle w:val="3"/>
              <w:tblpPr w:leftFromText="180" w:rightFromText="180" w:vertAnchor="text" w:horzAnchor="margin" w:tblpXSpec="center" w:tblpY="314"/>
              <w:tblW w:w="4359" w:type="dxa"/>
              <w:tblInd w:w="0" w:type="dxa"/>
              <w:tblLayout w:type="fixed"/>
              <w:tblCellMar>
                <w:top w:w="0" w:type="dxa"/>
                <w:left w:w="108" w:type="dxa"/>
                <w:bottom w:w="0" w:type="dxa"/>
                <w:right w:w="108" w:type="dxa"/>
              </w:tblCellMar>
            </w:tblPr>
            <w:tblGrid>
              <w:gridCol w:w="662"/>
              <w:gridCol w:w="2395"/>
              <w:gridCol w:w="1302"/>
            </w:tblGrid>
            <w:tr>
              <w:tblPrEx>
                <w:tblCellMar>
                  <w:top w:w="0" w:type="dxa"/>
                  <w:left w:w="108" w:type="dxa"/>
                  <w:bottom w:w="0" w:type="dxa"/>
                  <w:right w:w="108" w:type="dxa"/>
                </w:tblCellMar>
              </w:tblPrEx>
              <w:trPr>
                <w:trHeight w:val="460" w:hRule="atLeast"/>
              </w:trPr>
              <w:tc>
                <w:tcPr>
                  <w:tcW w:w="662" w:type="dxa"/>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序号</w:t>
                  </w:r>
                </w:p>
              </w:tc>
              <w:tc>
                <w:tcPr>
                  <w:tcW w:w="2395" w:type="dxa"/>
                  <w:tcBorders>
                    <w:top w:val="single" w:color="auto" w:sz="8" w:space="0"/>
                    <w:left w:val="nil"/>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名称</w:t>
                  </w:r>
                </w:p>
              </w:tc>
              <w:tc>
                <w:tcPr>
                  <w:tcW w:w="1302" w:type="dxa"/>
                  <w:tcBorders>
                    <w:top w:val="single" w:color="auto" w:sz="8" w:space="0"/>
                    <w:left w:val="single" w:color="auto" w:sz="4" w:space="0"/>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数量</w:t>
                  </w:r>
                </w:p>
              </w:tc>
            </w:tr>
            <w:tr>
              <w:tblPrEx>
                <w:tblCellMar>
                  <w:top w:w="0" w:type="dxa"/>
                  <w:left w:w="108" w:type="dxa"/>
                  <w:bottom w:w="0" w:type="dxa"/>
                  <w:right w:w="108" w:type="dxa"/>
                </w:tblCellMar>
              </w:tblPrEx>
              <w:trPr>
                <w:trHeight w:val="404" w:hRule="atLeast"/>
              </w:trPr>
              <w:tc>
                <w:tcPr>
                  <w:tcW w:w="662"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239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主机</w:t>
                  </w:r>
                </w:p>
              </w:tc>
              <w:tc>
                <w:tcPr>
                  <w:tcW w:w="1302" w:type="dxa"/>
                  <w:tcBorders>
                    <w:top w:val="nil"/>
                    <w:left w:val="single" w:color="auto" w:sz="4" w:space="0"/>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r>
            <w:tr>
              <w:tblPrEx>
                <w:tblCellMar>
                  <w:top w:w="0" w:type="dxa"/>
                  <w:left w:w="108" w:type="dxa"/>
                  <w:bottom w:w="0" w:type="dxa"/>
                  <w:right w:w="108" w:type="dxa"/>
                </w:tblCellMar>
              </w:tblPrEx>
              <w:trPr>
                <w:trHeight w:val="404" w:hRule="atLeast"/>
              </w:trPr>
              <w:tc>
                <w:tcPr>
                  <w:tcW w:w="662"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239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触摸屏</w:t>
                  </w:r>
                </w:p>
              </w:tc>
              <w:tc>
                <w:tcPr>
                  <w:tcW w:w="1302" w:type="dxa"/>
                  <w:tcBorders>
                    <w:top w:val="nil"/>
                    <w:left w:val="single" w:color="auto" w:sz="4" w:space="0"/>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r>
            <w:tr>
              <w:tblPrEx>
                <w:tblCellMar>
                  <w:top w:w="0" w:type="dxa"/>
                  <w:left w:w="108" w:type="dxa"/>
                  <w:bottom w:w="0" w:type="dxa"/>
                  <w:right w:w="108" w:type="dxa"/>
                </w:tblCellMar>
              </w:tblPrEx>
              <w:trPr>
                <w:trHeight w:val="404" w:hRule="atLeast"/>
              </w:trPr>
              <w:tc>
                <w:tcPr>
                  <w:tcW w:w="662"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p>
              </w:tc>
              <w:tc>
                <w:tcPr>
                  <w:tcW w:w="239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显示屏连接线</w:t>
                  </w:r>
                </w:p>
              </w:tc>
              <w:tc>
                <w:tcPr>
                  <w:tcW w:w="1302" w:type="dxa"/>
                  <w:tcBorders>
                    <w:top w:val="nil"/>
                    <w:left w:val="single" w:color="auto" w:sz="4" w:space="0"/>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r>
            <w:tr>
              <w:tblPrEx>
                <w:tblCellMar>
                  <w:top w:w="0" w:type="dxa"/>
                  <w:left w:w="108" w:type="dxa"/>
                  <w:bottom w:w="0" w:type="dxa"/>
                  <w:right w:w="108" w:type="dxa"/>
                </w:tblCellMar>
              </w:tblPrEx>
              <w:trPr>
                <w:trHeight w:val="404" w:hRule="atLeast"/>
              </w:trPr>
              <w:tc>
                <w:tcPr>
                  <w:tcW w:w="662"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w:t>
                  </w:r>
                </w:p>
              </w:tc>
              <w:tc>
                <w:tcPr>
                  <w:tcW w:w="239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ECG导联连线</w:t>
                  </w:r>
                </w:p>
              </w:tc>
              <w:tc>
                <w:tcPr>
                  <w:tcW w:w="1302" w:type="dxa"/>
                  <w:tcBorders>
                    <w:top w:val="nil"/>
                    <w:left w:val="single" w:color="auto" w:sz="4" w:space="0"/>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r>
            <w:tr>
              <w:tblPrEx>
                <w:tblCellMar>
                  <w:top w:w="0" w:type="dxa"/>
                  <w:left w:w="108" w:type="dxa"/>
                  <w:bottom w:w="0" w:type="dxa"/>
                  <w:right w:w="108" w:type="dxa"/>
                </w:tblCellMar>
              </w:tblPrEx>
              <w:trPr>
                <w:trHeight w:val="404" w:hRule="atLeast"/>
              </w:trPr>
              <w:tc>
                <w:tcPr>
                  <w:tcW w:w="662"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w:t>
                  </w:r>
                </w:p>
              </w:tc>
              <w:tc>
                <w:tcPr>
                  <w:tcW w:w="239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动脉压力缆线</w:t>
                  </w:r>
                </w:p>
              </w:tc>
              <w:tc>
                <w:tcPr>
                  <w:tcW w:w="1302" w:type="dxa"/>
                  <w:tcBorders>
                    <w:top w:val="nil"/>
                    <w:left w:val="single" w:color="auto" w:sz="4" w:space="0"/>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r>
            <w:tr>
              <w:tblPrEx>
                <w:tblCellMar>
                  <w:top w:w="0" w:type="dxa"/>
                  <w:left w:w="108" w:type="dxa"/>
                  <w:bottom w:w="0" w:type="dxa"/>
                  <w:right w:w="108" w:type="dxa"/>
                </w:tblCellMar>
              </w:tblPrEx>
              <w:trPr>
                <w:trHeight w:val="404" w:hRule="atLeast"/>
              </w:trPr>
              <w:tc>
                <w:tcPr>
                  <w:tcW w:w="662"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w:t>
                  </w:r>
                </w:p>
              </w:tc>
              <w:tc>
                <w:tcPr>
                  <w:tcW w:w="239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P—P线</w:t>
                  </w:r>
                </w:p>
              </w:tc>
              <w:tc>
                <w:tcPr>
                  <w:tcW w:w="1302" w:type="dxa"/>
                  <w:tcBorders>
                    <w:top w:val="nil"/>
                    <w:left w:val="single" w:color="auto" w:sz="4" w:space="0"/>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r>
            <w:tr>
              <w:tblPrEx>
                <w:tblCellMar>
                  <w:top w:w="0" w:type="dxa"/>
                  <w:left w:w="108" w:type="dxa"/>
                  <w:bottom w:w="0" w:type="dxa"/>
                  <w:right w:w="108" w:type="dxa"/>
                </w:tblCellMar>
              </w:tblPrEx>
              <w:trPr>
                <w:trHeight w:val="404" w:hRule="atLeast"/>
              </w:trPr>
              <w:tc>
                <w:tcPr>
                  <w:tcW w:w="662"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w:t>
                  </w:r>
                </w:p>
              </w:tc>
              <w:tc>
                <w:tcPr>
                  <w:tcW w:w="239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氦气罐</w:t>
                  </w:r>
                </w:p>
              </w:tc>
              <w:tc>
                <w:tcPr>
                  <w:tcW w:w="1302" w:type="dxa"/>
                  <w:tcBorders>
                    <w:top w:val="nil"/>
                    <w:left w:val="single" w:color="auto" w:sz="4" w:space="0"/>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r>
            <w:tr>
              <w:tblPrEx>
                <w:tblCellMar>
                  <w:top w:w="0" w:type="dxa"/>
                  <w:left w:w="108" w:type="dxa"/>
                  <w:bottom w:w="0" w:type="dxa"/>
                  <w:right w:w="108" w:type="dxa"/>
                </w:tblCellMar>
              </w:tblPrEx>
              <w:trPr>
                <w:trHeight w:val="404" w:hRule="atLeast"/>
              </w:trPr>
              <w:tc>
                <w:tcPr>
                  <w:tcW w:w="662"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w:t>
                  </w:r>
                </w:p>
              </w:tc>
              <w:tc>
                <w:tcPr>
                  <w:tcW w:w="239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氦气转接头</w:t>
                  </w:r>
                </w:p>
              </w:tc>
              <w:tc>
                <w:tcPr>
                  <w:tcW w:w="1302" w:type="dxa"/>
                  <w:tcBorders>
                    <w:top w:val="nil"/>
                    <w:left w:val="single" w:color="auto" w:sz="4" w:space="0"/>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r>
            <w:tr>
              <w:tblPrEx>
                <w:tblCellMar>
                  <w:top w:w="0" w:type="dxa"/>
                  <w:left w:w="108" w:type="dxa"/>
                  <w:bottom w:w="0" w:type="dxa"/>
                  <w:right w:w="108" w:type="dxa"/>
                </w:tblCellMar>
              </w:tblPrEx>
              <w:trPr>
                <w:trHeight w:val="404" w:hRule="atLeast"/>
              </w:trPr>
              <w:tc>
                <w:tcPr>
                  <w:tcW w:w="662"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9</w:t>
                  </w:r>
                </w:p>
              </w:tc>
              <w:tc>
                <w:tcPr>
                  <w:tcW w:w="239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打印纸</w:t>
                  </w:r>
                </w:p>
              </w:tc>
              <w:tc>
                <w:tcPr>
                  <w:tcW w:w="1302" w:type="dxa"/>
                  <w:tcBorders>
                    <w:top w:val="nil"/>
                    <w:left w:val="single" w:color="auto" w:sz="4" w:space="0"/>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r>
            <w:tr>
              <w:tblPrEx>
                <w:tblCellMar>
                  <w:top w:w="0" w:type="dxa"/>
                  <w:left w:w="108" w:type="dxa"/>
                  <w:bottom w:w="0" w:type="dxa"/>
                  <w:right w:w="108" w:type="dxa"/>
                </w:tblCellMar>
              </w:tblPrEx>
              <w:trPr>
                <w:trHeight w:val="404" w:hRule="atLeast"/>
              </w:trPr>
              <w:tc>
                <w:tcPr>
                  <w:tcW w:w="662"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w:t>
                  </w:r>
                </w:p>
              </w:tc>
              <w:tc>
                <w:tcPr>
                  <w:tcW w:w="239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内置热敏打印机</w:t>
                  </w:r>
                </w:p>
              </w:tc>
              <w:tc>
                <w:tcPr>
                  <w:tcW w:w="1302" w:type="dxa"/>
                  <w:tcBorders>
                    <w:top w:val="nil"/>
                    <w:left w:val="single" w:color="auto" w:sz="4" w:space="0"/>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r>
            <w:tr>
              <w:tblPrEx>
                <w:tblCellMar>
                  <w:top w:w="0" w:type="dxa"/>
                  <w:left w:w="108" w:type="dxa"/>
                  <w:bottom w:w="0" w:type="dxa"/>
                  <w:right w:w="108" w:type="dxa"/>
                </w:tblCellMar>
              </w:tblPrEx>
              <w:trPr>
                <w:trHeight w:val="404" w:hRule="atLeast"/>
              </w:trPr>
              <w:tc>
                <w:tcPr>
                  <w:tcW w:w="662"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11</w:t>
                  </w:r>
                </w:p>
              </w:tc>
              <w:tc>
                <w:tcPr>
                  <w:tcW w:w="239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内置蓄电池</w:t>
                  </w:r>
                </w:p>
              </w:tc>
              <w:tc>
                <w:tcPr>
                  <w:tcW w:w="1302" w:type="dxa"/>
                  <w:tcBorders>
                    <w:top w:val="nil"/>
                    <w:left w:val="single" w:color="auto" w:sz="4" w:space="0"/>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r>
            <w:tr>
              <w:tblPrEx>
                <w:tblCellMar>
                  <w:top w:w="0" w:type="dxa"/>
                  <w:left w:w="108" w:type="dxa"/>
                  <w:bottom w:w="0" w:type="dxa"/>
                  <w:right w:w="108" w:type="dxa"/>
                </w:tblCellMar>
              </w:tblPrEx>
              <w:trPr>
                <w:trHeight w:val="404" w:hRule="atLeast"/>
              </w:trPr>
              <w:tc>
                <w:tcPr>
                  <w:tcW w:w="662"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12</w:t>
                  </w:r>
                </w:p>
              </w:tc>
              <w:tc>
                <w:tcPr>
                  <w:tcW w:w="239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英文操作手册</w:t>
                  </w:r>
                </w:p>
              </w:tc>
              <w:tc>
                <w:tcPr>
                  <w:tcW w:w="1302" w:type="dxa"/>
                  <w:tcBorders>
                    <w:top w:val="nil"/>
                    <w:left w:val="single" w:color="auto" w:sz="4" w:space="0"/>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r>
            <w:tr>
              <w:tblPrEx>
                <w:tblCellMar>
                  <w:top w:w="0" w:type="dxa"/>
                  <w:left w:w="108" w:type="dxa"/>
                  <w:bottom w:w="0" w:type="dxa"/>
                  <w:right w:w="108" w:type="dxa"/>
                </w:tblCellMar>
              </w:tblPrEx>
              <w:trPr>
                <w:trHeight w:val="404" w:hRule="atLeast"/>
              </w:trPr>
              <w:tc>
                <w:tcPr>
                  <w:tcW w:w="662"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13</w:t>
                  </w:r>
                </w:p>
              </w:tc>
              <w:tc>
                <w:tcPr>
                  <w:tcW w:w="239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中文操作手册</w:t>
                  </w:r>
                </w:p>
              </w:tc>
              <w:tc>
                <w:tcPr>
                  <w:tcW w:w="1302" w:type="dxa"/>
                  <w:tcBorders>
                    <w:top w:val="nil"/>
                    <w:left w:val="single" w:color="auto" w:sz="4" w:space="0"/>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r>
            <w:tr>
              <w:tblPrEx>
                <w:tblCellMar>
                  <w:top w:w="0" w:type="dxa"/>
                  <w:left w:w="108" w:type="dxa"/>
                  <w:bottom w:w="0" w:type="dxa"/>
                  <w:right w:w="108" w:type="dxa"/>
                </w:tblCellMar>
              </w:tblPrEx>
              <w:trPr>
                <w:trHeight w:val="404" w:hRule="atLeast"/>
              </w:trPr>
              <w:tc>
                <w:tcPr>
                  <w:tcW w:w="662"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14</w:t>
                  </w:r>
                </w:p>
              </w:tc>
              <w:tc>
                <w:tcPr>
                  <w:tcW w:w="239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静脉输液架</w:t>
                  </w:r>
                </w:p>
              </w:tc>
              <w:tc>
                <w:tcPr>
                  <w:tcW w:w="1302" w:type="dxa"/>
                  <w:tcBorders>
                    <w:top w:val="nil"/>
                    <w:left w:val="single" w:color="auto" w:sz="4" w:space="0"/>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r>
            <w:tr>
              <w:tblPrEx>
                <w:tblCellMar>
                  <w:top w:w="0" w:type="dxa"/>
                  <w:left w:w="108" w:type="dxa"/>
                  <w:bottom w:w="0" w:type="dxa"/>
                  <w:right w:w="108" w:type="dxa"/>
                </w:tblCellMar>
              </w:tblPrEx>
              <w:trPr>
                <w:trHeight w:val="404" w:hRule="atLeast"/>
              </w:trPr>
              <w:tc>
                <w:tcPr>
                  <w:tcW w:w="662"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15</w:t>
                  </w:r>
                </w:p>
              </w:tc>
              <w:tc>
                <w:tcPr>
                  <w:tcW w:w="239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电源线</w:t>
                  </w:r>
                </w:p>
              </w:tc>
              <w:tc>
                <w:tcPr>
                  <w:tcW w:w="1302" w:type="dxa"/>
                  <w:tcBorders>
                    <w:top w:val="nil"/>
                    <w:left w:val="single" w:color="auto" w:sz="4" w:space="0"/>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r>
            <w:tr>
              <w:tblPrEx>
                <w:tblCellMar>
                  <w:top w:w="0" w:type="dxa"/>
                  <w:left w:w="108" w:type="dxa"/>
                  <w:bottom w:w="0" w:type="dxa"/>
                  <w:right w:w="108" w:type="dxa"/>
                </w:tblCellMar>
              </w:tblPrEx>
              <w:trPr>
                <w:trHeight w:val="465" w:hRule="atLeast"/>
              </w:trPr>
              <w:tc>
                <w:tcPr>
                  <w:tcW w:w="662" w:type="dxa"/>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16</w:t>
                  </w:r>
                </w:p>
              </w:tc>
              <w:tc>
                <w:tcPr>
                  <w:tcW w:w="2395" w:type="dxa"/>
                  <w:tcBorders>
                    <w:top w:val="nil"/>
                    <w:left w:val="nil"/>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附件背包</w:t>
                  </w:r>
                </w:p>
              </w:tc>
              <w:tc>
                <w:tcPr>
                  <w:tcW w:w="1302" w:type="dxa"/>
                  <w:tcBorders>
                    <w:top w:val="nil"/>
                    <w:left w:val="single" w:color="auto" w:sz="4" w:space="0"/>
                    <w:bottom w:val="single" w:color="auto" w:sz="8" w:space="0"/>
                    <w:right w:val="single" w:color="auto"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after="0" w:line="40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r>
          </w:tbl>
          <w:p>
            <w:pPr>
              <w:rPr>
                <w:rFonts w:hint="eastAsia" w:ascii="宋体" w:hAnsi="宋体" w:eastAsia="宋体" w:cs="宋体"/>
                <w:color w:val="auto"/>
                <w:sz w:val="21"/>
                <w:szCs w:val="21"/>
                <w:highlight w:val="none"/>
                <w:lang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443" w:type="dxa"/>
            <w:gridSpan w:val="5"/>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二、商务要求表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质保期</w:t>
            </w:r>
          </w:p>
        </w:tc>
        <w:tc>
          <w:tcPr>
            <w:tcW w:w="5071" w:type="dxa"/>
            <w:tcBorders>
              <w:top w:val="single" w:color="auto" w:sz="4" w:space="0"/>
              <w:left w:val="single" w:color="auto" w:sz="4" w:space="0"/>
              <w:bottom w:val="single" w:color="auto" w:sz="4" w:space="0"/>
              <w:right w:val="single" w:color="auto" w:sz="4" w:space="0"/>
            </w:tcBorders>
          </w:tcPr>
          <w:p>
            <w:pPr>
              <w:spacing w:line="360" w:lineRule="exact"/>
              <w:ind w:right="-107" w:rightChars="-51"/>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bCs/>
                <w:color w:val="auto"/>
                <w:sz w:val="21"/>
                <w:szCs w:val="21"/>
                <w:highlight w:val="none"/>
              </w:rPr>
              <w:t>、竞标人应明确承诺：质保期≥</w:t>
            </w:r>
            <w:r>
              <w:rPr>
                <w:rFonts w:hint="eastAsia" w:cs="宋体"/>
                <w:bCs/>
                <w:color w:val="auto"/>
                <w:sz w:val="21"/>
                <w:szCs w:val="21"/>
                <w:highlight w:val="none"/>
                <w:lang w:val="en-US" w:eastAsia="zh-CN"/>
              </w:rPr>
              <w:t>2</w:t>
            </w:r>
            <w:r>
              <w:rPr>
                <w:rFonts w:hint="eastAsia" w:ascii="宋体" w:hAnsi="宋体" w:eastAsia="宋体" w:cs="宋体"/>
                <w:bCs/>
                <w:color w:val="auto"/>
                <w:sz w:val="21"/>
                <w:szCs w:val="21"/>
                <w:highlight w:val="none"/>
              </w:rPr>
              <w:t>年。质保期内非人为损坏免费更换所有故障零配件，并免费提供硬件的安全性改版升级和技术支持，确保设备正常运行。</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2、质保期所更换的零配件必须是原厂全新的零配件，满足设备运行要求。</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3、质保期内每年提供1次设备检查保养服务(使用专业检测设备)，每次保养及维修均需提供双方签字确认的保养服务工单或维修工单。</w:t>
            </w:r>
          </w:p>
          <w:p>
            <w:pPr>
              <w:spacing w:line="360" w:lineRule="exact"/>
              <w:ind w:right="97" w:rightChars="46"/>
              <w:jc w:val="lef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4、质量保证期承诺优于国家“三包”规定的，或优于采购文件规定的，按竞标人实际承诺执行。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交货时间及地点</w:t>
            </w:r>
          </w:p>
        </w:tc>
        <w:tc>
          <w:tcPr>
            <w:tcW w:w="5071" w:type="dxa"/>
            <w:tcBorders>
              <w:top w:val="single" w:color="auto" w:sz="4" w:space="0"/>
              <w:left w:val="single" w:color="auto" w:sz="4" w:space="0"/>
              <w:bottom w:val="single" w:color="auto" w:sz="4" w:space="0"/>
              <w:right w:val="single" w:color="auto" w:sz="4" w:space="0"/>
            </w:tcBorders>
          </w:tcPr>
          <w:p>
            <w:pPr>
              <w:spacing w:line="360" w:lineRule="exact"/>
              <w:ind w:right="-107" w:rightChars="-51"/>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自签订合同之日起</w:t>
            </w:r>
            <w:r>
              <w:rPr>
                <w:rFonts w:hint="eastAsia" w:cs="宋体"/>
                <w:bCs/>
                <w:color w:val="auto"/>
                <w:sz w:val="21"/>
                <w:szCs w:val="21"/>
                <w:highlight w:val="none"/>
                <w:lang w:val="en-US" w:eastAsia="zh-CN"/>
              </w:rPr>
              <w:t>3</w:t>
            </w:r>
            <w:r>
              <w:rPr>
                <w:rFonts w:hint="eastAsia" w:ascii="宋体" w:hAnsi="宋体" w:eastAsia="宋体" w:cs="宋体"/>
                <w:bCs/>
                <w:color w:val="auto"/>
                <w:sz w:val="21"/>
                <w:szCs w:val="21"/>
                <w:highlight w:val="none"/>
              </w:rPr>
              <w:t>0天内交货并安装调试完毕。</w:t>
            </w:r>
          </w:p>
          <w:p>
            <w:pPr>
              <w:spacing w:line="360" w:lineRule="exact"/>
              <w:ind w:right="-107" w:rightChars="-51"/>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地点：采购人指定地点。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w:t>
            </w:r>
          </w:p>
        </w:tc>
        <w:tc>
          <w:tcPr>
            <w:tcW w:w="5071" w:type="dxa"/>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本项目无预付款，项目验收合格交付使用后30日内支付第一笔合同款的</w:t>
            </w:r>
            <w:r>
              <w:rPr>
                <w:rFonts w:hint="eastAsia" w:cs="宋体"/>
                <w:color w:val="auto"/>
                <w:sz w:val="21"/>
                <w:szCs w:val="21"/>
                <w:highlight w:val="none"/>
                <w:lang w:val="en-US" w:eastAsia="zh-CN"/>
              </w:rPr>
              <w:t>97</w:t>
            </w:r>
            <w:r>
              <w:rPr>
                <w:rFonts w:hint="eastAsia" w:ascii="宋体" w:hAnsi="宋体" w:eastAsia="宋体" w:cs="宋体"/>
                <w:color w:val="auto"/>
                <w:sz w:val="21"/>
                <w:szCs w:val="21"/>
                <w:highlight w:val="none"/>
              </w:rPr>
              <w:t>%，第二笔剩余</w:t>
            </w:r>
            <w:r>
              <w:rPr>
                <w:rFonts w:hint="eastAsia" w:cs="宋体"/>
                <w:color w:val="auto"/>
                <w:sz w:val="21"/>
                <w:szCs w:val="21"/>
                <w:highlight w:val="none"/>
                <w:lang w:val="en-US" w:eastAsia="zh-CN"/>
              </w:rPr>
              <w:t>3</w:t>
            </w:r>
            <w:r>
              <w:rPr>
                <w:rFonts w:hint="eastAsia" w:ascii="宋体" w:hAnsi="宋体" w:eastAsia="宋体" w:cs="宋体"/>
                <w:color w:val="auto"/>
                <w:sz w:val="21"/>
                <w:szCs w:val="21"/>
                <w:highlight w:val="none"/>
              </w:rPr>
              <w:t>%的合同款</w:t>
            </w:r>
            <w:r>
              <w:rPr>
                <w:rFonts w:hint="eastAsia" w:cs="宋体"/>
                <w:color w:val="auto"/>
                <w:sz w:val="21"/>
                <w:szCs w:val="21"/>
                <w:highlight w:val="none"/>
                <w:lang w:val="en-US" w:eastAsia="zh-CN"/>
              </w:rPr>
              <w:t>作为质保金</w:t>
            </w:r>
            <w:r>
              <w:rPr>
                <w:rFonts w:hint="eastAsia" w:ascii="宋体" w:hAnsi="宋体" w:eastAsia="宋体" w:cs="宋体"/>
                <w:color w:val="auto"/>
                <w:sz w:val="21"/>
                <w:szCs w:val="21"/>
                <w:highlight w:val="none"/>
              </w:rPr>
              <w:t>，在验收合格交付使用12个月后的15个工作日内支付（无息）。</w:t>
            </w:r>
            <w:r>
              <w:rPr>
                <w:rFonts w:hint="eastAsia" w:cs="宋体"/>
                <w:color w:val="auto"/>
                <w:sz w:val="21"/>
                <w:szCs w:val="21"/>
                <w:highlight w:val="none"/>
                <w:lang w:val="en-US" w:eastAsia="zh-CN"/>
              </w:rPr>
              <w:t>成交人</w:t>
            </w:r>
            <w:r>
              <w:rPr>
                <w:rFonts w:hint="eastAsia" w:ascii="宋体" w:hAnsi="宋体" w:eastAsia="宋体" w:cs="宋体"/>
                <w:color w:val="auto"/>
                <w:sz w:val="21"/>
                <w:szCs w:val="21"/>
                <w:highlight w:val="none"/>
              </w:rPr>
              <w:t>在采购人付款前开具完税发票给采购人。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3"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履约保证金</w:t>
            </w:r>
          </w:p>
        </w:tc>
        <w:tc>
          <w:tcPr>
            <w:tcW w:w="507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1、履约保证金为合同总金额：</w:t>
            </w:r>
            <w:r>
              <w:rPr>
                <w:rFonts w:hint="eastAsia" w:ascii="宋体" w:hAnsi="宋体" w:eastAsia="宋体" w:cs="宋体"/>
                <w:color w:val="auto"/>
                <w:sz w:val="21"/>
                <w:szCs w:val="21"/>
                <w:highlight w:val="none"/>
                <w:lang w:eastAsia="zh-CN"/>
              </w:rPr>
              <w:t>无</w:t>
            </w:r>
            <w:r>
              <w:rPr>
                <w:rFonts w:hint="eastAsia" w:ascii="宋体" w:hAnsi="宋体" w:eastAsia="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售后服务要求</w:t>
            </w:r>
          </w:p>
        </w:tc>
        <w:tc>
          <w:tcPr>
            <w:tcW w:w="5071" w:type="dxa"/>
            <w:tcBorders>
              <w:top w:val="single" w:color="auto" w:sz="4" w:space="0"/>
              <w:left w:val="single" w:color="auto" w:sz="4" w:space="0"/>
              <w:bottom w:val="single" w:color="auto" w:sz="4" w:space="0"/>
              <w:right w:val="single" w:color="auto" w:sz="4" w:space="0"/>
            </w:tcBorders>
          </w:tcPr>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1、免费送货上门、安装调试，免费培训，安装完成后成交供应商负责清理产生的木箱等垃圾；</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2、竞标人应提出可行的售后服务承诺书；</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3、按厂家承诺实行“三包”；</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4、竞标报价包括货物的所有费用，包括采购、运输、安装、劳务、管理、利润、税金、保险、协调、培训、售后服务、配送产品以及所有的不定因素的风险等；</w:t>
            </w:r>
          </w:p>
          <w:p>
            <w:pPr>
              <w:pStyle w:val="2"/>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5、</w:t>
            </w:r>
            <w:r>
              <w:rPr>
                <w:rFonts w:hint="eastAsia" w:ascii="宋体" w:hAnsi="宋体" w:eastAsia="宋体" w:cs="宋体"/>
                <w:b/>
                <w:bCs w:val="0"/>
                <w:color w:val="auto"/>
                <w:kern w:val="2"/>
                <w:sz w:val="21"/>
                <w:szCs w:val="21"/>
                <w:highlight w:val="none"/>
                <w:lang w:val="en-US" w:eastAsia="zh-CN" w:bidi="ar-SA"/>
              </w:rPr>
              <w:t>如医院有需求，中标公司负责向该产品接入医院的HIS系统，LIS系统，PA</w:t>
            </w:r>
            <w:r>
              <w:rPr>
                <w:rFonts w:hint="eastAsia" w:cs="宋体"/>
                <w:b/>
                <w:bCs w:val="0"/>
                <w:color w:val="auto"/>
                <w:kern w:val="2"/>
                <w:sz w:val="21"/>
                <w:szCs w:val="21"/>
                <w:highlight w:val="none"/>
                <w:lang w:val="en-US" w:eastAsia="zh-CN" w:bidi="ar-SA"/>
              </w:rPr>
              <w:t>S</w:t>
            </w:r>
            <w:r>
              <w:rPr>
                <w:rFonts w:hint="eastAsia" w:ascii="宋体" w:hAnsi="宋体" w:eastAsia="宋体" w:cs="宋体"/>
                <w:b/>
                <w:bCs w:val="0"/>
                <w:color w:val="auto"/>
                <w:kern w:val="2"/>
                <w:sz w:val="21"/>
                <w:szCs w:val="21"/>
                <w:highlight w:val="none"/>
                <w:lang w:val="en-US" w:eastAsia="zh-CN" w:bidi="ar-SA"/>
              </w:rPr>
              <w:t>S系统的厂家支付接口技术服务费。单向费用8000元/台，双向费用16000元/台。</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、备件、技术及维修服务，培训要求及其它：</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（1）备件要求：竞标人或厂家应在用户当地或省会中心城市设置备件库，存入所有必须的备件，保证必要时可以及时供应；</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（2）技术及维修服务：在用户当地或省会中心城市，竞标人或厂家应配置多名工程技术人员，随时提供开箱验货、安装、调试或维修等服务；</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（3）技术培训要求：在用户当地或省会中心城市，竞标人或厂家应配置专业技术人员提供现场技术培训，保证使用人员正常操作设备的各种功能；</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w:t>
            </w:r>
            <w:bookmarkStart w:id="2" w:name="_Hlk59224273"/>
            <w:r>
              <w:rPr>
                <w:rFonts w:hint="eastAsia" w:ascii="宋体" w:hAnsi="宋体" w:eastAsia="宋体" w:cs="宋体"/>
                <w:bCs/>
                <w:color w:val="auto"/>
                <w:sz w:val="21"/>
                <w:szCs w:val="21"/>
                <w:highlight w:val="none"/>
              </w:rPr>
              <w:t>质保期内设备发生故障时，现场响应时间</w:t>
            </w:r>
            <w:r>
              <w:rPr>
                <w:rFonts w:hint="eastAsia" w:ascii="宋体" w:hAnsi="宋体" w:eastAsia="宋体" w:cs="宋体"/>
                <w:bCs/>
                <w:color w:val="auto"/>
                <w:sz w:val="21"/>
                <w:szCs w:val="21"/>
                <w:highlight w:val="none"/>
                <w:lang w:val="en-US" w:eastAsia="zh-CN"/>
              </w:rPr>
              <w:t>24</w:t>
            </w:r>
            <w:r>
              <w:rPr>
                <w:rFonts w:hint="eastAsia" w:ascii="宋体" w:hAnsi="宋体" w:eastAsia="宋体" w:cs="宋体"/>
                <w:bCs/>
                <w:color w:val="auto"/>
                <w:sz w:val="21"/>
                <w:szCs w:val="21"/>
                <w:highlight w:val="none"/>
              </w:rPr>
              <w:t>小时以内，维修响应时间小于</w:t>
            </w:r>
            <w:r>
              <w:rPr>
                <w:rFonts w:hint="eastAsia" w:ascii="宋体" w:hAnsi="宋体" w:eastAsia="宋体" w:cs="宋体"/>
                <w:bCs/>
                <w:color w:val="auto"/>
                <w:sz w:val="21"/>
                <w:szCs w:val="21"/>
                <w:highlight w:val="none"/>
                <w:lang w:val="en-US" w:eastAsia="zh-CN"/>
              </w:rPr>
              <w:t>24</w:t>
            </w:r>
            <w:r>
              <w:rPr>
                <w:rFonts w:hint="eastAsia" w:ascii="宋体" w:hAnsi="宋体" w:eastAsia="宋体" w:cs="宋体"/>
                <w:bCs/>
                <w:color w:val="auto"/>
                <w:sz w:val="21"/>
                <w:szCs w:val="21"/>
                <w:highlight w:val="none"/>
              </w:rPr>
              <w:t>小时，工程师到场时间小于</w:t>
            </w:r>
            <w:r>
              <w:rPr>
                <w:rFonts w:hint="eastAsia" w:ascii="宋体" w:hAnsi="宋体" w:eastAsia="宋体" w:cs="宋体"/>
                <w:bCs/>
                <w:color w:val="auto"/>
                <w:sz w:val="21"/>
                <w:szCs w:val="21"/>
                <w:highlight w:val="none"/>
                <w:lang w:val="en-US" w:eastAsia="zh-CN"/>
              </w:rPr>
              <w:t>36</w:t>
            </w:r>
            <w:r>
              <w:rPr>
                <w:rFonts w:hint="eastAsia" w:ascii="宋体" w:hAnsi="宋体" w:eastAsia="宋体" w:cs="宋体"/>
                <w:bCs/>
                <w:color w:val="auto"/>
                <w:sz w:val="21"/>
                <w:szCs w:val="21"/>
                <w:highlight w:val="none"/>
              </w:rPr>
              <w:t>小时，维修中所需要零配件供应最长时间不超过7天。特殊情况无法到达须提前与科室或设备主管科室沟通。如需更换配件，则小配件</w:t>
            </w:r>
            <w:r>
              <w:rPr>
                <w:rFonts w:hint="eastAsia" w:ascii="宋体" w:hAnsi="宋体" w:eastAsia="宋体" w:cs="宋体"/>
                <w:bCs/>
                <w:color w:val="auto"/>
                <w:sz w:val="21"/>
                <w:szCs w:val="21"/>
                <w:highlight w:val="none"/>
                <w:lang w:val="en-US" w:eastAsia="zh-CN"/>
              </w:rPr>
              <w:t>7</w:t>
            </w:r>
            <w:r>
              <w:rPr>
                <w:rFonts w:hint="eastAsia" w:ascii="宋体" w:hAnsi="宋体" w:eastAsia="宋体" w:cs="宋体"/>
                <w:bCs/>
                <w:color w:val="auto"/>
                <w:sz w:val="21"/>
                <w:szCs w:val="21"/>
                <w:highlight w:val="none"/>
              </w:rPr>
              <w:t>个工作日内更换完毕，大配件</w:t>
            </w:r>
            <w:r>
              <w:rPr>
                <w:rFonts w:hint="eastAsia" w:ascii="宋体" w:hAnsi="宋体" w:eastAsia="宋体" w:cs="宋体"/>
                <w:bCs/>
                <w:color w:val="auto"/>
                <w:sz w:val="21"/>
                <w:szCs w:val="21"/>
                <w:highlight w:val="none"/>
                <w:lang w:val="en-US" w:eastAsia="zh-CN"/>
              </w:rPr>
              <w:t>15</w:t>
            </w:r>
            <w:r>
              <w:rPr>
                <w:rFonts w:hint="eastAsia" w:ascii="宋体" w:hAnsi="宋体" w:eastAsia="宋体" w:cs="宋体"/>
                <w:bCs/>
                <w:color w:val="auto"/>
                <w:sz w:val="21"/>
                <w:szCs w:val="21"/>
                <w:highlight w:val="none"/>
              </w:rPr>
              <w:t>个工作日内更换完毕，当配件等待周期大于</w:t>
            </w:r>
            <w:r>
              <w:rPr>
                <w:rFonts w:hint="eastAsia" w:ascii="宋体" w:hAnsi="宋体" w:eastAsia="宋体" w:cs="宋体"/>
                <w:bCs/>
                <w:color w:val="auto"/>
                <w:sz w:val="21"/>
                <w:szCs w:val="21"/>
                <w:highlight w:val="none"/>
                <w:lang w:val="en-US" w:eastAsia="zh-CN"/>
              </w:rPr>
              <w:t>15</w:t>
            </w:r>
            <w:r>
              <w:rPr>
                <w:rFonts w:hint="eastAsia" w:ascii="宋体" w:hAnsi="宋体" w:eastAsia="宋体" w:cs="宋体"/>
                <w:bCs/>
                <w:color w:val="auto"/>
                <w:sz w:val="21"/>
                <w:szCs w:val="21"/>
                <w:highlight w:val="none"/>
              </w:rPr>
              <w:t>个工作日时，成交供应商应按照科室要求提供备用机。</w:t>
            </w:r>
            <w:bookmarkEnd w:id="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其它要求</w:t>
            </w:r>
          </w:p>
        </w:tc>
        <w:tc>
          <w:tcPr>
            <w:tcW w:w="5071" w:type="dxa"/>
            <w:tcBorders>
              <w:top w:val="single" w:color="auto" w:sz="4" w:space="0"/>
              <w:left w:val="single" w:color="auto" w:sz="4" w:space="0"/>
              <w:bottom w:val="single" w:color="auto" w:sz="4" w:space="0"/>
              <w:right w:val="single" w:color="auto" w:sz="4" w:space="0"/>
            </w:tcBorders>
          </w:tcPr>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bCs/>
                <w:color w:val="auto"/>
                <w:sz w:val="21"/>
                <w:szCs w:val="21"/>
                <w:highlight w:val="none"/>
              </w:rPr>
              <w:t>成交供应商保证向采购人提供的货物是全新、完整、未使用过的。</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2、竞标时提供竞标产品彩色图片或说明书。</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bCs/>
                <w:color w:val="auto"/>
                <w:sz w:val="21"/>
                <w:szCs w:val="21"/>
                <w:highlight w:val="none"/>
              </w:rPr>
              <w:t>采购人设备主管科室对本合同质保服务内容进行全程对接和监督，并对服务情况进行客观记录，在每个合同年度期结束时，由设备主管科室根据合同约定的服务内容、响应情况、服务态度及过程记录。</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4、采购人在货物交货验收阶段发现货物的技术参数指标达不到采购文件该货物技术参数要求的，属虚假应标行为，采购人将终止合同拒收货物，追究该成交单位违约责任，赔偿采购人因采购时间延长造成采购人经济等方面损失。</w:t>
            </w:r>
          </w:p>
        </w:tc>
      </w:tr>
      <w:bookmarkEnd w:id="1"/>
    </w:tbl>
    <w:p>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DF5F75"/>
    <w:multiLevelType w:val="singleLevel"/>
    <w:tmpl w:val="5CDF5F75"/>
    <w:lvl w:ilvl="0" w:tentative="0">
      <w:start w:val="2"/>
      <w:numFmt w:val="chineseCounting"/>
      <w:suff w:val="space"/>
      <w:lvlText w:val="第%1章"/>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1N2VhZDA4ZjkxNTE5ZGQ3MTRhM2E4YTAzNGYyNTYifQ=="/>
  </w:docVars>
  <w:rsids>
    <w:rsidRoot w:val="14045AEE"/>
    <w:rsid w:val="14045AEE"/>
    <w:rsid w:val="29C56D88"/>
    <w:rsid w:val="4366104A"/>
    <w:rsid w:val="51FB0CAB"/>
    <w:rsid w:val="5E6625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Arial"/>
      <w:kern w:val="2"/>
      <w:sz w:val="21"/>
      <w:szCs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index 4"/>
    <w:basedOn w:val="1"/>
    <w:next w:val="1"/>
    <w:unhideWhenUsed/>
    <w:qFormat/>
    <w:uiPriority w:val="99"/>
    <w:rPr>
      <w:b/>
      <w:sz w:val="24"/>
      <w:lang w:val="zh-CN"/>
    </w:rPr>
  </w:style>
  <w:style w:type="paragraph" w:customStyle="1" w:styleId="5">
    <w:name w:val="大目录"/>
    <w:basedOn w:val="1"/>
    <w:qFormat/>
    <w:uiPriority w:val="0"/>
    <w:pPr>
      <w:spacing w:line="540" w:lineRule="exact"/>
      <w:jc w:val="center"/>
    </w:pPr>
    <w:rPr>
      <w:b/>
      <w:sz w:val="48"/>
      <w:szCs w:val="4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2023-08-15T09:22:00Z</dcterms:created>
  <dc:creator>Administrator</dc:creator>
  <cp:lastModifiedBy>Administrator</cp:lastModifiedBy>
  <dcterms:modified xsi:type="dcterms:W3CDTF">2023-08-31T02:00:44Z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44330E1E9E62439FAC47CDE5761B6220_11</vt:lpwstr>
  </property>
</Properties>
</file>