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jc w:val="center"/>
        <w:rPr>
          <w:rFonts w:hint="eastAsia" w:ascii="宋体" w:hAnsi="宋体"/>
          <w:b w:val="0"/>
          <w:color w:val="auto"/>
          <w:sz w:val="32"/>
          <w:szCs w:val="32"/>
          <w:highlight w:val="none"/>
        </w:rPr>
      </w:pPr>
      <w:r>
        <w:rPr>
          <w:rFonts w:hint="eastAsia"/>
          <w:color w:val="auto"/>
          <w:highlight w:val="none"/>
        </w:rPr>
        <w:t>采购需求</w:t>
      </w:r>
    </w:p>
    <w:p>
      <w:pPr>
        <w:spacing w:line="360" w:lineRule="auto"/>
        <w:jc w:val="left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说明：</w:t>
      </w:r>
    </w:p>
    <w:p>
      <w:pPr>
        <w:spacing w:line="360" w:lineRule="exact"/>
        <w:ind w:left="-10" w:leftChars="-5" w:right="2" w:rightChars="1" w:firstLine="422" w:firstLineChars="200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1、采购需求中如出现品牌、型号或者生产厂家等均仅起参考作用，不属于指定品牌、型号或者生产厂家的情形，供应商可参照或者选用其他相当的品牌、型号或者生产供应商替代。但供应商的产品实质上应相当于或优于本需求中的技术要求。</w:t>
      </w:r>
    </w:p>
    <w:p>
      <w:pPr>
        <w:spacing w:line="360" w:lineRule="exact"/>
        <w:ind w:left="-10" w:leftChars="-5" w:right="2" w:rightChars="1" w:firstLine="422" w:firstLineChars="200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2、根据《财政部 发展改革委 生态环境部 市场监管总局关于调整优化节能产品、环境标志产品政府采购执行机制的通知》（财库〔2019〕9 号）和《关于印发节能产品政府采购品目清单的通知》（财库〔2019〕19 号）的规定，采购需求中的产品属于节能产品政府采购品目清单内标注“★”的（详见本章后附的节能产品政府采购品目清单），供应商的竞标货物必须使用政府强制采购的节能产品，否则响应文件作无效响应处理。</w:t>
      </w:r>
    </w:p>
    <w:p>
      <w:pPr>
        <w:spacing w:line="360" w:lineRule="exact"/>
        <w:ind w:left="-10" w:leftChars="-5" w:right="2" w:rightChars="1" w:firstLine="422" w:firstLineChars="200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3、如供应商竞标产品存在侵犯他人的知识产权或者专利成果行为的，由供应商自行承担相应法律责任。</w:t>
      </w:r>
    </w:p>
    <w:p>
      <w:pPr>
        <w:spacing w:line="360" w:lineRule="exact"/>
        <w:ind w:left="-10" w:leftChars="-5" w:right="2" w:rightChars="1" w:firstLine="422" w:firstLineChars="200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4、“实质性要求”是指竞争性谈判文件中已经指明不满足则响应无效的条款，或者不能负偏离的条款，或者采购需求中带“▲”的条款。</w:t>
      </w:r>
    </w:p>
    <w:p>
      <w:pPr>
        <w:pStyle w:val="8"/>
        <w:rPr>
          <w:rFonts w:hint="eastAsia" w:ascii="宋体" w:hAnsi="宋体"/>
          <w:b/>
          <w:color w:val="auto"/>
          <w:szCs w:val="21"/>
          <w:highlight w:val="none"/>
        </w:rPr>
      </w:pPr>
    </w:p>
    <w:p>
      <w:pPr>
        <w:pStyle w:val="8"/>
        <w:rPr>
          <w:rFonts w:hint="eastAsia" w:ascii="宋体" w:hAnsi="宋体"/>
          <w:b/>
          <w:color w:val="auto"/>
          <w:szCs w:val="21"/>
          <w:highlight w:val="none"/>
        </w:rPr>
      </w:pPr>
    </w:p>
    <w:tbl>
      <w:tblPr>
        <w:tblStyle w:val="9"/>
        <w:tblW w:w="109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35"/>
        <w:gridCol w:w="663"/>
        <w:gridCol w:w="652"/>
        <w:gridCol w:w="1223"/>
        <w:gridCol w:w="1177"/>
        <w:gridCol w:w="54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标的的名称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预算单价（元）</w:t>
            </w:r>
          </w:p>
        </w:tc>
        <w:tc>
          <w:tcPr>
            <w:tcW w:w="5448" w:type="dxa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技术要求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医院等级评审管理系统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pStyle w:val="6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pStyle w:val="6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hd w:val="clear" w:color="auto" w:fill="FFFFFF"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500000.00</w:t>
            </w:r>
          </w:p>
        </w:tc>
        <w:tc>
          <w:tcPr>
            <w:tcW w:w="5448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一、数据采集：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系统具有完善的数据采集工具，要能够支持数据库直连和WebService两种取数方式，并能支持各种主流数据库连接：SQL Server、ORACLE、Sybase、DB2、Access、MySql等；能够自动取数，无需要人工干预。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报表统计：</w:t>
            </w:r>
          </w:p>
          <w:p>
            <w:pPr>
              <w:pStyle w:val="11"/>
              <w:ind w:left="0" w:firstLine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预置国家发布的“三级医院评审标准（2022年版）”第二部分医疗服务能力与质量安全监测数据指标库，共设80节154条监测指标。内容包括医院资源配置、质量、安全、服务、绩效等指标监测、DRG 评价、单病种和重点医疗技术质控等日常监测数据，数据统计周期为全评审周期。同时，支持根据省内实施细则扩充指标。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系统预置2022年版评审标准第一章资源配置与运行数据指标报表展示，主要从床位配置，人员配备，科室配置，运行指标，科研指标五个方面进行指标监测。床位配置监测了核定床位数、实际开放床位数、平均床位使用率三个指标；人员配备上监测了卫生技术人员与开放床位数比、全院护士人数与开放床位数比、病区护士人数与开放床位数比、医院感染管理专职人员与开放床位数比四个指标；科室配置上主要监测急诊医院科、中医科、重症医学科、康复医院科、麻醉科、感染性疾病科的指标；运行指标主要监测相关手术科室年手术人次占其出院人次比例、开放床位使用率、人员支出占业务支出的比重 3种重点指标；科研指标主要包含新技术临床转化数量、取得临床相关国家专利数量 2个重点指标。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2.系统预置2022年版评审标准第二章医疗服务能力与医院质量安全指标报表展示，主要分为三个方面医疗服务能力、医院质量指标、医疗安全指标（32项）。重点监测DRG相关指标数据。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系统预置2022年版评审标准第三章重点专业质量控制指标报表展示，包含麻醉专业、重症医学专业、急诊专业、临床检验专业、病理专业、医院感染管理、临床用血、呼吸内科、产业专业、神经系统疾病、肾病专业、护理专业、药事管理专业、肝脏移植技术、肾脏移植技术、心脏移植技术、肺脏移植技术指标报表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系统预置2022年版评审标准第四章约定的单病种报表展示；分为心血管系统疾病/手术疾病，神经系统疾病/手术，呼吸系统疾病，运动系统疾病/手术，生殖系统疾病/手术，肿瘤（手术指标）6个，泌尿系统疾病/操作，口腔系统疾病/手术，其他疾病/手术。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系统预置2022年版评审标准第五章重点医疗技术临床应用指标报表展示，并支持依据医院实际开展的限制类技术种类可调整报表展示，涵盖了15项国家限制类医疗技术指标和人体器官捐献、获取与移植技术相关指标监测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三、指标分析：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1.系统支持直接展示指标属性（规模配置类、区间监测类）；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▲2.支持指标值图表展示，支持结合目标值以柱状图展示指标走向，并支持指标图形的同期对比展示。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四、指标目录清单：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▲1.依照国家发布的“三级医院评审标准（2022年版）”实施细则要求提供第二部分指标目录清单近四年数据；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▲2.指标目录清单包含指标名称、指标定义、指标采集方式、责任科室、指标属性、指标值、中位数、平均数、最后一年数据等。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五、指标异常趋势报表：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▲1.系统针对区间监测类指标如逐步升高类（高优）、逐步降低类（低优）自动产出趋势异常分析报表；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▲2.异常趋势包含逐步升高的指标，与上期对比有指标值降低，逐步降低的指标与上期对比有指标升高的指标展示。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六、异常指标报表：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1.指标值与管理目标值不相符的指标报表；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2.支持展示逐步升高指标当期的指标值与低于目标值的数据；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3.支持展示逐步降低指标当前的指标值高于目标值的数据。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任务分派：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1.支持用户筛选指标建立执行任务，分派给指定的科室并可设置任务期限；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2.支持任务执行进度跟踪；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3.支持分派人终止未执行的任务；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4.支持分派人选择任务类型（指标录入、指标核查）。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八、我的任务：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属于用户所属科室的任务即为我要执行的任务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1.支持快捷执行指标录入；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2.支持查看任务执行期限以及是否超期。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九、任务统计：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支持统计各科室任务数量、已完成数量、待执行数量以及超期任务数量。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十、指标管理：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系统预置国家发布的“三级医院评审标准（2022年版）”第二部分指标库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1.支持根据省内实施细则扩充指标；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▲2.支持指标属性（规模配比、连续监测）配置以及指标目录清单要求的指标数据定义、采集数据源、采集方式等要素配置；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指标取数信息，取数信息包含数据源、取数语句、分组字段、统计频率、钻取信息等，并支持二次计算，计算公式有：行求和、列求和、平均值、百分比、对比值等。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十一、报表配置：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可以根据需求自定义报表格式及数据加载内容，具体如下：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1.支持多种报表格式，普通报表、固定报表、特殊报表、文字报表等；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2.支持查询条件可配置；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3.支持对某数据行做隶属于其它数据行的展开或收起设置；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4.支持表头动态加载；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5.支持加载数据二次计算，计算公式有：行求和、列求和、平均、百分比、对比等；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6.支持单元格钻取功能，显示形式有弹出层或另开页面，钻取内容支持系统配置报表或固定地址；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7.支持页眉页脚的配置，可以动态加载；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8.支持导出Excel；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9.支持打印，另分页带表头；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10.支持数据源可选，加载内容通过sql语句动态加载。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十二、图表配置：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可以根据需求配置多种图表样式，数据内容根据条件动态加载，具体如下：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1.支持格式有：柱状图、折线图、横向柱状图、散点图、双Y轴柱状+线形、饼图、环形图、南丁格尔图、雷达图等；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2.支持查询条件可配置；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3.支持数据源可选，数据动态加载；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4.支持下载成图片；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5.支持柱状和线形自由切换；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6.支持标线配置（最大值、最小值、平均值、固定值等）。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十三、360全景展示：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▲1. 指标范围：支持重点关注的指标图表及取数配置，如住院手术例数、死亡人次、出院科室分析统计（前15）、出院人次数对比（前10）、出院人次数对比、门诊人次等，可为指标自定义配置图表，系统支持的图表格式有柱状图、折线图、横向柱状图、散点图、双Y柱状图、饼图、环形图、雷达图等。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图表支持下载成图片。</w:t>
            </w:r>
          </w:p>
          <w:p>
            <w:pPr>
              <w:pStyle w:val="11"/>
              <w:ind w:left="0" w:firstLine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十四、全院预警：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▲系统支持对重要指标或指标值，设置预警值参数及预警规则，超过上限或下限值后，系统会有相应的预警提醒提交给相关干系人，并提供符合PDCA的处理流程。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数据管理：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▲指标数据管理（含科级）：管理汇总的指标数据，提供添、删、改、查的功能。指标的查看和操作能可以通过权限进行控制。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取数管理：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配置自动汇总指标数据的时间及频率，并提供手动汇总的功能。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目标值管理：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1.配置指标在不同时间维度的目标值，用于指标预警、指标列表展示；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▲2.指标值支持单指标值管理也支持区间目标值配置。</w:t>
            </w:r>
          </w:p>
          <w:p>
            <w:pPr>
              <w:pStyle w:val="1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十五、单病种导入：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▲1.系统支持从国家单病种平台下载的单病种（等评要求的病种）Excel数据直接导入作为单病种数据源；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2.支持国家单病种平台下载的数据源字段扩展时，导入模板的变动配置。</w:t>
            </w:r>
          </w:p>
          <w:p>
            <w:pPr>
              <w:pStyle w:val="11"/>
              <w:ind w:left="0" w:firstLine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十六、Excel导入：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▲对于无法提供业务系统数据源进行汇总的指标，可以把基础数据以Excel的格式导入到数据库，然后再使用指标管理功能进行汇总。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十七、患者补录：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对于无法提供业务系统数据源进行汇总的指标，可以在补录界面进行填选患者信息，便于指标管理功能进行汇总。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十八、月度初始化：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配置时间统计粒度的开始及结束时间，可以满足跨自然月统计。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十九、数据源配置：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▲配置数据库的链接方式，主要用于指标取数、报表加载、图表加载、关注模块等。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二十、系统数据字典：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配置系统字典信息，如菜单、指标类型、报表类型等。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二十一、条件配置：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配置查询条件，分为时间、文本、下拉列表，下拉列表的内容可以动态加载，并且可以实现多个下拉列表之间的联动，允许下拉列表多选。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二十二、监控管理：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▲监控win服务执行状况，并提供win服务的操作功能（安装、启动、停止、卸载）。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二十三、报表样式：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配置报表的样式（字体颜色、大小、类型等），主要用于报表配置。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二十四、系统设置：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可配置医院名称、指标小数位数，指标冻结设置、指标列表展示方式等。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二十五、权限管理：</w:t>
            </w:r>
          </w:p>
          <w:p>
            <w:pPr>
              <w:spacing w:line="29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各个模块配置成可控制的权限，用于控制用户登录后查看的内容；可管理权限组，控制科室成员在科室管理权限组的权限范围内进行增、删、改、查；可以管理用户，支持赋予用户权限或权限组。</w:t>
            </w:r>
          </w:p>
          <w:p>
            <w:pPr>
              <w:pStyle w:val="11"/>
              <w:ind w:left="0" w:firstLine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pStyle w:val="11"/>
              <w:ind w:left="0" w:firstLine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二十六、评审过程技术支持</w:t>
            </w:r>
          </w:p>
          <w:p>
            <w:pPr>
              <w:pStyle w:val="11"/>
              <w:ind w:left="0" w:firstLine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▲医院评审期间，派遣工程师驻场协助医院完成等级评审相关数据提取及展示，为医院等级评审工作提供力所能及的信息技术支持。</w:t>
            </w:r>
          </w:p>
          <w:p>
            <w:pPr>
              <w:pStyle w:val="11"/>
              <w:ind w:left="0" w:firstLine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二十七、免费质保期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承诺自项目合格验收之日起，系统免费质保期为二年；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09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一、商务要求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</w:rPr>
              <w:t>质保期</w:t>
            </w:r>
          </w:p>
        </w:tc>
        <w:tc>
          <w:tcPr>
            <w:tcW w:w="8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交付（实施）的时间（期限）和地点（范围）</w:t>
            </w:r>
          </w:p>
        </w:tc>
        <w:tc>
          <w:tcPr>
            <w:tcW w:w="8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交付（实施）期限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：自合同签订之日起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0天内。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2、服务地点：采购人指定地点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合同签订时间</w:t>
            </w:r>
          </w:p>
        </w:tc>
        <w:tc>
          <w:tcPr>
            <w:tcW w:w="8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自成交通知书发出之日起25日内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付款条件</w:t>
            </w:r>
          </w:p>
        </w:tc>
        <w:tc>
          <w:tcPr>
            <w:tcW w:w="8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本项目无预付款，项目验收合格交付使用后30日内支付第一笔合同款的50%，第二笔合同款在验收合格交付使用6个月后的15个工作日内支付合同款的45%，第三笔剩余5%的合同款，在验收合格交付使用12个月后的15个工作日内支付（无息）。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成交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人在采购人付款前开具完税发票给采购人。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履约保证金</w:t>
            </w:r>
          </w:p>
        </w:tc>
        <w:tc>
          <w:tcPr>
            <w:tcW w:w="8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1、履约保证金为合同总金额：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  <w:jc w:val="center"/>
        </w:trPr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售后服务要求</w:t>
            </w:r>
          </w:p>
        </w:tc>
        <w:tc>
          <w:tcPr>
            <w:tcW w:w="8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1、免费送货上门、安装调试，免费培训，安装完成后成交供应商负责清理产生的木箱等垃圾；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2、竞标人应提出可行的售后服务承诺书；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3、按厂家承诺实行“三包”；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4、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竞标报价包括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所有费用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，包括采购、运输、安装、劳务、管理、利润、税金、保险、协调、培训、售后服务、配送产品以及所有的不定因素的风险等；</w:t>
            </w:r>
          </w:p>
          <w:p>
            <w:pPr>
              <w:pStyle w:val="7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5、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如医院有需求，成交公司负责向该产品接入医院的HIS系统，LIS系统，PASS系统的厂家支付接口技术服务费。单向费用8000元/台，双向费用16000元/台。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、备件、技术及维修服务，培训要求及其它：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（1）备件要求：竞标人或厂家应在用户当地或省会中心城市设置备件库，存入所有必须的备件，保证必要时可以及时供应；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（2）技术及维修服务：在用户当地或省会中心城市，竞标人或厂家应配置多名工程技术人员，随时提供开箱验货、安装、调试或维修等服务；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（3）技术培训要求：在用户当地或省会中心城市，竞标人或厂家应配置专业技术人员提供现场技术培训，保证使用人员正常操作设备的各种功能；</w:t>
            </w:r>
          </w:p>
          <w:p>
            <w:pPr>
              <w:spacing w:line="360" w:lineRule="exact"/>
              <w:ind w:right="97" w:rightChars="46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（4）质保期内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提供7×24小时服务，现场响应时间24小时内，维修响应时间小于24小时，工程师到场时间小于36小时，维修中所需要零配件供应最长时间不超过7天。特殊情况无法到达须提前与科室或设备主管科室沟通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AC6A13"/>
    <w:multiLevelType w:val="singleLevel"/>
    <w:tmpl w:val="A2AC6A1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466984"/>
    <w:multiLevelType w:val="singleLevel"/>
    <w:tmpl w:val="FD46698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B5D931A"/>
    <w:multiLevelType w:val="singleLevel"/>
    <w:tmpl w:val="0B5D931A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N2VhZDA4ZjkxNTE5ZGQ3MTRhM2E4YTAzNGYyNTYifQ=="/>
  </w:docVars>
  <w:rsids>
    <w:rsidRoot w:val="110D55A5"/>
    <w:rsid w:val="110D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uiPriority w:val="0"/>
    <w:pPr>
      <w:spacing w:after="120"/>
    </w:pPr>
  </w:style>
  <w:style w:type="paragraph" w:customStyle="1" w:styleId="3">
    <w:name w:val="Default"/>
    <w:next w:val="4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4">
    <w:name w:val="toc 8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8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11">
    <w:name w:val="正文1"/>
    <w:basedOn w:val="1"/>
    <w:qFormat/>
    <w:uiPriority w:val="0"/>
    <w:pPr>
      <w:spacing w:line="318" w:lineRule="atLeast"/>
      <w:ind w:left="369" w:firstLine="369"/>
    </w:pPr>
    <w:rPr>
      <w:rFonts w:asci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2023-07-03T08:07:00Z</dcterms:created>
  <dc:creator>Administrator</dc:creator>
  <cp:lastModifiedBy>Administrator</cp:lastModifiedBy>
  <dcterms:modified xsi:type="dcterms:W3CDTF">2023-07-03T08:08:43Z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C142ED7FD63A4178B64AFE9CD87887FD_11</vt:lpwstr>
  </property>
</Properties>
</file>