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1143" w:hanging="723"/>
        <w:jc w:val="center"/>
        <w:rPr>
          <w:rFonts w:hint="eastAsia" w:ascii="仿宋" w:hAnsi="仿宋" w:eastAsia="仿宋" w:cs="仿宋"/>
          <w:b/>
          <w:sz w:val="36"/>
          <w:szCs w:val="36"/>
        </w:rPr>
      </w:pPr>
      <w:r>
        <w:rPr>
          <w:rFonts w:hint="eastAsia" w:ascii="仿宋" w:hAnsi="仿宋" w:eastAsia="仿宋" w:cs="仿宋"/>
          <w:b/>
          <w:sz w:val="36"/>
          <w:szCs w:val="36"/>
        </w:rPr>
        <w:t>营养品参数需求</w:t>
      </w:r>
    </w:p>
    <w:p>
      <w:pPr>
        <w:pStyle w:val="2"/>
        <w:spacing w:line="360" w:lineRule="auto"/>
        <w:ind w:left="1143" w:hanging="723"/>
        <w:jc w:val="center"/>
        <w:rPr>
          <w:rFonts w:hint="eastAsia" w:ascii="仿宋" w:hAnsi="仿宋" w:eastAsia="仿宋" w:cs="仿宋"/>
          <w:b/>
          <w:sz w:val="36"/>
          <w:szCs w:val="36"/>
        </w:rPr>
      </w:pPr>
    </w:p>
    <w:tbl>
      <w:tblPr>
        <w:tblStyle w:val="8"/>
        <w:tblW w:w="8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1417"/>
        <w:gridCol w:w="2119"/>
        <w:gridCol w:w="1925"/>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135" w:type="dxa"/>
            <w:vAlign w:val="center"/>
          </w:tcPr>
          <w:p>
            <w:pPr>
              <w:widowControl/>
              <w:spacing w:line="360" w:lineRule="exact"/>
              <w:jc w:val="center"/>
              <w:textAlignment w:val="baseline"/>
              <w:rPr>
                <w:rFonts w:ascii="宋体" w:hAnsi="宋体" w:cs="宋体"/>
                <w:b/>
                <w:bCs/>
                <w:kern w:val="0"/>
                <w:szCs w:val="21"/>
              </w:rPr>
            </w:pPr>
            <w:r>
              <w:rPr>
                <w:rFonts w:hint="eastAsia" w:ascii="宋体" w:hAnsi="宋体" w:cs="宋体"/>
                <w:b/>
                <w:bCs/>
                <w:kern w:val="0"/>
                <w:szCs w:val="21"/>
              </w:rPr>
              <w:t>产品类别及规格</w:t>
            </w:r>
          </w:p>
        </w:tc>
        <w:tc>
          <w:tcPr>
            <w:tcW w:w="1417" w:type="dxa"/>
            <w:vAlign w:val="center"/>
          </w:tcPr>
          <w:p>
            <w:pPr>
              <w:widowControl/>
              <w:spacing w:line="360" w:lineRule="exact"/>
              <w:jc w:val="center"/>
              <w:textAlignment w:val="baseline"/>
              <w:rPr>
                <w:rFonts w:ascii="宋体" w:hAnsi="宋体" w:cs="宋体"/>
                <w:b/>
                <w:bCs/>
                <w:szCs w:val="21"/>
              </w:rPr>
            </w:pPr>
            <w:r>
              <w:rPr>
                <w:rFonts w:hint="eastAsia" w:ascii="宋体" w:hAnsi="宋体" w:cs="宋体"/>
                <w:b/>
                <w:bCs/>
                <w:szCs w:val="21"/>
              </w:rPr>
              <w:t>功能要求</w:t>
            </w:r>
          </w:p>
        </w:tc>
        <w:tc>
          <w:tcPr>
            <w:tcW w:w="2119" w:type="dxa"/>
            <w:vAlign w:val="center"/>
          </w:tcPr>
          <w:p>
            <w:pPr>
              <w:widowControl/>
              <w:spacing w:line="360" w:lineRule="exact"/>
              <w:jc w:val="center"/>
              <w:textAlignment w:val="baseline"/>
              <w:rPr>
                <w:rFonts w:ascii="宋体" w:hAnsi="宋体" w:cs="宋体"/>
                <w:b/>
                <w:bCs/>
                <w:szCs w:val="21"/>
              </w:rPr>
            </w:pPr>
            <w:r>
              <w:rPr>
                <w:rFonts w:hint="eastAsia" w:ascii="宋体" w:hAnsi="宋体" w:cs="宋体"/>
                <w:b/>
                <w:bCs/>
                <w:szCs w:val="21"/>
              </w:rPr>
              <w:t>质量要求</w:t>
            </w:r>
          </w:p>
        </w:tc>
        <w:tc>
          <w:tcPr>
            <w:tcW w:w="3785" w:type="dxa"/>
            <w:gridSpan w:val="2"/>
            <w:vAlign w:val="center"/>
          </w:tcPr>
          <w:p>
            <w:pPr>
              <w:pStyle w:val="5"/>
              <w:spacing w:line="300" w:lineRule="auto"/>
              <w:jc w:val="center"/>
              <w:rPr>
                <w:rFonts w:ascii="宋体" w:hAnsi="宋体" w:cs="宋体"/>
                <w:b/>
                <w:bCs/>
                <w:szCs w:val="21"/>
              </w:rPr>
            </w:pPr>
            <w:r>
              <w:rPr>
                <w:rFonts w:hint="eastAsia" w:ascii="宋体" w:hAnsi="宋体" w:cs="宋体"/>
                <w:b/>
                <w:bCs/>
                <w:szCs w:val="21"/>
              </w:rPr>
              <w:t>营养成分要求</w:t>
            </w:r>
          </w:p>
          <w:p>
            <w:pPr>
              <w:pStyle w:val="5"/>
              <w:spacing w:line="300" w:lineRule="auto"/>
              <w:ind w:left="0" w:leftChars="0"/>
              <w:rPr>
                <w:rFonts w:ascii="宋体" w:hAnsi="宋体" w:cs="宋体"/>
                <w:b/>
                <w:bCs/>
                <w:szCs w:val="21"/>
              </w:rPr>
            </w:pPr>
            <w:r>
              <w:rPr>
                <w:rFonts w:hint="eastAsia" w:ascii="宋体" w:hAnsi="宋体" w:cs="宋体"/>
                <w:bCs/>
                <w:sz w:val="18"/>
                <w:szCs w:val="18"/>
              </w:rPr>
              <w:t>（符合基础要求并含有更多生长发育所需成分的产品优先）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35" w:type="dxa"/>
            <w:vMerge w:val="restart"/>
            <w:vAlign w:val="center"/>
          </w:tcPr>
          <w:p>
            <w:pPr>
              <w:widowControl/>
              <w:spacing w:line="360" w:lineRule="exact"/>
              <w:jc w:val="center"/>
              <w:textAlignment w:val="baseline"/>
              <w:rPr>
                <w:rFonts w:cs="宋体" w:asciiTheme="majorEastAsia" w:hAnsiTheme="majorEastAsia" w:eastAsiaTheme="majorEastAsia"/>
                <w:kern w:val="0"/>
                <w:szCs w:val="21"/>
              </w:rPr>
            </w:pPr>
            <w:r>
              <w:rPr>
                <w:rFonts w:hint="eastAsia" w:cs="仿宋" w:asciiTheme="majorEastAsia" w:hAnsiTheme="majorEastAsia" w:eastAsiaTheme="majorEastAsia"/>
                <w:b/>
                <w:szCs w:val="21"/>
              </w:rPr>
              <w:t>铁锌复合维生素撒</w:t>
            </w:r>
            <w:r>
              <w:rPr>
                <w:rFonts w:hint="eastAsia" w:cs="仿宋" w:asciiTheme="majorEastAsia" w:hAnsiTheme="majorEastAsia" w:eastAsiaTheme="majorEastAsia"/>
                <w:b/>
                <w:color w:val="auto"/>
                <w:szCs w:val="21"/>
              </w:rPr>
              <w:t>剂，约2g/袋*30袋/盒</w:t>
            </w:r>
          </w:p>
        </w:tc>
        <w:tc>
          <w:tcPr>
            <w:tcW w:w="1417" w:type="dxa"/>
            <w:vMerge w:val="restart"/>
            <w:vAlign w:val="center"/>
          </w:tcPr>
          <w:p>
            <w:pPr>
              <w:widowControl/>
              <w:spacing w:line="360" w:lineRule="exact"/>
              <w:textAlignment w:val="baseline"/>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基础的营养补充剂，提升身体营养状态，微量元素营养补充，促进术后恢复及促进体格生长、发育，改善缺铁、贫血等</w:t>
            </w:r>
          </w:p>
        </w:tc>
        <w:tc>
          <w:tcPr>
            <w:tcW w:w="2119" w:type="dxa"/>
            <w:vMerge w:val="restart"/>
            <w:vAlign w:val="center"/>
          </w:tcPr>
          <w:p>
            <w:pPr>
              <w:widowControl/>
              <w:jc w:val="left"/>
              <w:rPr>
                <w:rFonts w:cs="宋体" w:asciiTheme="majorEastAsia" w:hAnsiTheme="majorEastAsia" w:eastAsiaTheme="majorEastAsia"/>
                <w:sz w:val="18"/>
                <w:szCs w:val="18"/>
              </w:rPr>
            </w:pPr>
            <w:r>
              <w:rPr>
                <w:rFonts w:hint="eastAsia" w:cs="宋体" w:asciiTheme="majorEastAsia" w:hAnsiTheme="majorEastAsia" w:eastAsiaTheme="majorEastAsia"/>
                <w:color w:val="auto"/>
                <w:sz w:val="18"/>
                <w:szCs w:val="18"/>
              </w:rPr>
              <w:t>1. 适宜人群：婴幼儿及儿童（1-5岁,含5岁阶段）。</w:t>
            </w:r>
            <w:r>
              <w:rPr>
                <w:rFonts w:hint="eastAsia" w:cs="宋体" w:asciiTheme="majorEastAsia" w:hAnsiTheme="majorEastAsia" w:eastAsiaTheme="majorEastAsia"/>
                <w:sz w:val="18"/>
                <w:szCs w:val="18"/>
              </w:rPr>
              <w:t>2</w:t>
            </w:r>
            <w:r>
              <w:rPr>
                <w:rFonts w:cs="宋体" w:asciiTheme="majorEastAsia" w:hAnsiTheme="majorEastAsia" w:eastAsiaTheme="majorEastAsia"/>
                <w:sz w:val="18"/>
                <w:szCs w:val="18"/>
              </w:rPr>
              <w:t>.</w:t>
            </w:r>
            <w:r>
              <w:rPr>
                <w:rFonts w:hint="eastAsia" w:cs="宋体" w:asciiTheme="majorEastAsia" w:hAnsiTheme="majorEastAsia" w:eastAsiaTheme="majorEastAsia"/>
                <w:sz w:val="18"/>
                <w:szCs w:val="18"/>
              </w:rPr>
              <w:t>产品应当符合相关国家生产及质量标准的要求：GB22570或GB7101，如是保健食品的需取得国家市场监督管理总局批准的保健食品证书或备案证。</w:t>
            </w:r>
            <w:r>
              <w:rPr>
                <w:rFonts w:cs="宋体" w:asciiTheme="majorEastAsia" w:hAnsiTheme="majorEastAsia" w:eastAsiaTheme="majorEastAsia"/>
                <w:sz w:val="18"/>
                <w:szCs w:val="18"/>
              </w:rPr>
              <w:t>3</w:t>
            </w:r>
            <w:r>
              <w:rPr>
                <w:rFonts w:hint="eastAsia" w:cs="宋体" w:asciiTheme="majorEastAsia" w:hAnsiTheme="majorEastAsia" w:eastAsiaTheme="majorEastAsia"/>
                <w:sz w:val="18"/>
                <w:szCs w:val="18"/>
              </w:rPr>
              <w:t>.保质期：产品质保期不低于一年半，产品到货有效期需大于9个月。</w:t>
            </w:r>
            <w:r>
              <w:rPr>
                <w:rFonts w:cs="宋体" w:asciiTheme="majorEastAsia" w:hAnsiTheme="majorEastAsia" w:eastAsiaTheme="majorEastAsia"/>
                <w:sz w:val="18"/>
                <w:szCs w:val="18"/>
              </w:rPr>
              <w:t>4</w:t>
            </w:r>
            <w:r>
              <w:rPr>
                <w:rFonts w:hint="eastAsia" w:cs="宋体" w:asciiTheme="majorEastAsia" w:hAnsiTheme="majorEastAsia" w:eastAsiaTheme="majorEastAsia"/>
                <w:sz w:val="18"/>
                <w:szCs w:val="18"/>
              </w:rPr>
              <w:t>.价格要求：</w:t>
            </w:r>
            <w:r>
              <w:rPr>
                <w:rFonts w:hint="eastAsia" w:cs="宋体" w:asciiTheme="majorEastAsia" w:hAnsiTheme="majorEastAsia" w:eastAsiaTheme="majorEastAsia"/>
                <w:color w:val="auto"/>
                <w:sz w:val="18"/>
                <w:szCs w:val="18"/>
              </w:rPr>
              <w:t>每人7盒，</w:t>
            </w:r>
            <w:r>
              <w:rPr>
                <w:rFonts w:hint="eastAsia" w:cs="宋体" w:asciiTheme="majorEastAsia" w:hAnsiTheme="majorEastAsia" w:eastAsiaTheme="majorEastAsia"/>
                <w:sz w:val="18"/>
                <w:szCs w:val="18"/>
              </w:rPr>
              <w:t>固定价格，包含运输、装卸费、税费等在内的全部费用。价格经双方确认后，无论市场价格怎样变化，合同期内供货价格将不予调整。</w:t>
            </w:r>
            <w:r>
              <w:rPr>
                <w:rFonts w:cs="宋体" w:asciiTheme="majorEastAsia" w:hAnsiTheme="majorEastAsia" w:eastAsiaTheme="majorEastAsia"/>
                <w:sz w:val="18"/>
                <w:szCs w:val="18"/>
              </w:rPr>
              <w:t xml:space="preserve"> </w:t>
            </w:r>
          </w:p>
        </w:tc>
        <w:tc>
          <w:tcPr>
            <w:tcW w:w="1925" w:type="dxa"/>
            <w:tcBorders>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项目</w:t>
            </w:r>
          </w:p>
        </w:tc>
        <w:tc>
          <w:tcPr>
            <w:tcW w:w="1860" w:type="dxa"/>
            <w:tcBorders>
              <w:left w:val="single" w:color="auto" w:sz="4" w:space="0"/>
              <w:bottom w:val="single" w:color="auto" w:sz="4" w:space="0"/>
            </w:tcBorders>
            <w:vAlign w:val="center"/>
          </w:tcPr>
          <w:p>
            <w:pPr>
              <w:pStyle w:val="5"/>
              <w:spacing w:line="300" w:lineRule="auto"/>
              <w:rPr>
                <w:rFonts w:cs="宋体" w:asciiTheme="majorEastAsia" w:hAnsiTheme="majorEastAsia" w:eastAsiaTheme="majorEastAsia"/>
                <w:b/>
                <w:kern w:val="0"/>
                <w:sz w:val="18"/>
                <w:szCs w:val="18"/>
              </w:rPr>
            </w:pPr>
            <w:r>
              <w:rPr>
                <w:rFonts w:hint="eastAsia" w:cs="宋体" w:asciiTheme="majorEastAsia" w:hAnsiTheme="majorEastAsia" w:eastAsiaTheme="majorEastAsia"/>
                <w:b/>
                <w:kern w:val="0"/>
                <w:sz w:val="18"/>
                <w:szCs w:val="18"/>
              </w:rPr>
              <w:t>每份含量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维生素D（μg）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不低于5</w:t>
            </w:r>
            <w:r>
              <w:rPr>
                <w:rFonts w:cs="宋体" w:asciiTheme="majorEastAsia" w:hAnsiTheme="majorEastAsia" w:eastAsiaTheme="majorEastAsia"/>
                <w:color w:val="auto"/>
                <w:kern w:val="0"/>
                <w:sz w:val="18"/>
                <w:szCs w:val="18"/>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维生素B1（mg）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不低于0</w:t>
            </w:r>
            <w:r>
              <w:rPr>
                <w:rFonts w:cs="宋体" w:asciiTheme="majorEastAsia" w:hAnsiTheme="majorEastAsia" w:eastAsiaTheme="majorEastAsia"/>
                <w:color w:val="auto"/>
                <w:kern w:val="0"/>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维生素B2（mg）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不低于0</w:t>
            </w:r>
            <w:r>
              <w:rPr>
                <w:rFonts w:cs="宋体" w:asciiTheme="majorEastAsia" w:hAnsiTheme="majorEastAsia" w:eastAsiaTheme="majorEastAsia"/>
                <w:color w:val="auto"/>
                <w:kern w:val="0"/>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维生素B6（mg）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hint="eastAsia" w:cs="宋体" w:asciiTheme="majorEastAsia" w:hAnsiTheme="majorEastAsia" w:eastAsiaTheme="majorEastAsia"/>
                <w:color w:val="auto"/>
                <w:kern w:val="0"/>
                <w:sz w:val="18"/>
                <w:szCs w:val="18"/>
                <w:highlight w:val="none"/>
                <w:lang w:val="en-US" w:eastAsia="zh-CN"/>
              </w:rPr>
            </w:pPr>
            <w:r>
              <w:rPr>
                <w:rFonts w:hint="eastAsia" w:cs="宋体" w:asciiTheme="majorEastAsia" w:hAnsiTheme="majorEastAsia" w:eastAsiaTheme="majorEastAsia"/>
                <w:color w:val="auto"/>
                <w:kern w:val="0"/>
                <w:sz w:val="18"/>
                <w:szCs w:val="18"/>
                <w:highlight w:val="none"/>
              </w:rPr>
              <w:t>不低于0</w:t>
            </w:r>
            <w:r>
              <w:rPr>
                <w:rFonts w:cs="宋体" w:asciiTheme="majorEastAsia" w:hAnsiTheme="majorEastAsia" w:eastAsiaTheme="majorEastAsia"/>
                <w:color w:val="auto"/>
                <w:kern w:val="0"/>
                <w:sz w:val="18"/>
                <w:szCs w:val="18"/>
                <w:highlight w:val="none"/>
              </w:rPr>
              <w:t>.</w:t>
            </w:r>
            <w:r>
              <w:rPr>
                <w:rFonts w:hint="eastAsia" w:cs="宋体" w:asciiTheme="majorEastAsia" w:hAnsiTheme="majorEastAsia" w:eastAsiaTheme="majorEastAsia"/>
                <w:color w:val="auto"/>
                <w:kern w:val="0"/>
                <w:sz w:val="18"/>
                <w:szCs w:val="1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维生素B12（μg）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不低于0</w:t>
            </w:r>
            <w:r>
              <w:rPr>
                <w:rFonts w:cs="宋体" w:asciiTheme="majorEastAsia" w:hAnsiTheme="majorEastAsia" w:eastAsiaTheme="majorEastAsia"/>
                <w:color w:val="auto"/>
                <w:kern w:val="0"/>
                <w:sz w:val="18"/>
                <w:szCs w:val="18"/>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叶酸（μg）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w:t>
            </w:r>
            <w:r>
              <w:rPr>
                <w:rFonts w:cs="宋体" w:asciiTheme="majorEastAsia" w:hAnsiTheme="majorEastAsia" w:eastAsiaTheme="majorEastAsia"/>
                <w:color w:val="auto"/>
                <w:kern w:val="0"/>
                <w:sz w:val="18"/>
                <w:szCs w:val="18"/>
                <w:highlight w:val="none"/>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铁（mg）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不低于6</w:t>
            </w:r>
            <w:r>
              <w:rPr>
                <w:rFonts w:cs="宋体" w:asciiTheme="majorEastAsia" w:hAnsiTheme="majorEastAsia" w:eastAsiaTheme="majorEastAsia"/>
                <w:color w:val="auto"/>
                <w:kern w:val="0"/>
                <w:sz w:val="18"/>
                <w:szCs w:val="18"/>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sz w:val="22"/>
                <w:szCs w:val="22"/>
              </w:rPr>
            </w:pPr>
          </w:p>
        </w:tc>
        <w:tc>
          <w:tcPr>
            <w:tcW w:w="1417" w:type="dxa"/>
            <w:vMerge w:val="continue"/>
            <w:vAlign w:val="center"/>
          </w:tcPr>
          <w:p>
            <w:pPr>
              <w:widowControl/>
              <w:spacing w:line="360" w:lineRule="exact"/>
              <w:textAlignment w:val="baseline"/>
              <w:rPr>
                <w:rFonts w:cs="宋体" w:asciiTheme="majorEastAsia" w:hAnsiTheme="majorEastAsia" w:eastAsiaTheme="majorEastAsia"/>
                <w:sz w:val="18"/>
                <w:szCs w:val="18"/>
              </w:rPr>
            </w:pPr>
          </w:p>
        </w:tc>
        <w:tc>
          <w:tcPr>
            <w:tcW w:w="2119" w:type="dxa"/>
            <w:vMerge w:val="continue"/>
            <w:vAlign w:val="center"/>
          </w:tcPr>
          <w:p>
            <w:pPr>
              <w:widowControl/>
              <w:jc w:val="left"/>
              <w:rPr>
                <w:rFonts w:cs="宋体" w:asciiTheme="majorEastAsia" w:hAnsiTheme="majorEastAsia" w:eastAsiaTheme="majorEastAsia"/>
                <w:sz w:val="18"/>
                <w:szCs w:val="18"/>
              </w:rPr>
            </w:pPr>
          </w:p>
        </w:tc>
        <w:tc>
          <w:tcPr>
            <w:tcW w:w="1925" w:type="dxa"/>
            <w:tcBorders>
              <w:top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仿宋" w:asciiTheme="majorEastAsia" w:hAnsiTheme="majorEastAsia" w:eastAsiaTheme="majorEastAsia"/>
                <w:color w:val="auto"/>
                <w:sz w:val="18"/>
                <w:szCs w:val="18"/>
                <w:highlight w:val="none"/>
              </w:rPr>
              <w:t>锌（mg）</w:t>
            </w:r>
          </w:p>
        </w:tc>
        <w:tc>
          <w:tcPr>
            <w:tcW w:w="1860" w:type="dxa"/>
            <w:tcBorders>
              <w:top w:val="single" w:color="auto" w:sz="4" w:space="0"/>
              <w:lef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不低于4</w:t>
            </w:r>
            <w:r>
              <w:rPr>
                <w:rFonts w:cs="宋体" w:asciiTheme="majorEastAsia" w:hAnsiTheme="majorEastAsia" w:eastAsiaTheme="majorEastAsia"/>
                <w:color w:val="auto"/>
                <w:kern w:val="0"/>
                <w:sz w:val="18"/>
                <w:szCs w:val="18"/>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35" w:type="dxa"/>
            <w:vMerge w:val="restart"/>
            <w:vAlign w:val="center"/>
          </w:tcPr>
          <w:p>
            <w:pPr>
              <w:widowControl/>
              <w:spacing w:line="360" w:lineRule="exact"/>
              <w:jc w:val="center"/>
              <w:textAlignment w:val="baseline"/>
              <w:rPr>
                <w:rFonts w:cs="宋体" w:asciiTheme="majorEastAsia" w:hAnsiTheme="majorEastAsia" w:eastAsiaTheme="majorEastAsia"/>
                <w:b/>
                <w:kern w:val="0"/>
                <w:szCs w:val="21"/>
              </w:rPr>
            </w:pPr>
            <w:r>
              <w:rPr>
                <w:rFonts w:hint="eastAsia" w:cs="仿宋" w:asciiTheme="majorEastAsia" w:hAnsiTheme="majorEastAsia" w:eastAsiaTheme="majorEastAsia"/>
                <w:b/>
                <w:bCs/>
                <w:szCs w:val="21"/>
              </w:rPr>
              <w:t>多种维生素矿物质软胶囊,</w:t>
            </w:r>
            <w:r>
              <w:rPr>
                <w:rFonts w:hint="eastAsia" w:cs="宋体" w:asciiTheme="majorEastAsia" w:hAnsiTheme="majorEastAsia" w:eastAsiaTheme="majorEastAsia"/>
                <w:b/>
                <w:szCs w:val="21"/>
              </w:rPr>
              <w:t xml:space="preserve"> </w:t>
            </w:r>
            <w:r>
              <w:rPr>
                <w:rFonts w:hint="eastAsia" w:cs="宋体" w:asciiTheme="majorEastAsia" w:hAnsiTheme="majorEastAsia" w:eastAsiaTheme="majorEastAsia"/>
                <w:b/>
                <w:color w:val="auto"/>
                <w:szCs w:val="21"/>
              </w:rPr>
              <w:t>约220mg*30粒/盒</w:t>
            </w:r>
          </w:p>
        </w:tc>
        <w:tc>
          <w:tcPr>
            <w:tcW w:w="1417" w:type="dxa"/>
            <w:vMerge w:val="restart"/>
            <w:vAlign w:val="center"/>
          </w:tcPr>
          <w:p>
            <w:pPr>
              <w:widowControl/>
              <w:spacing w:line="360" w:lineRule="exact"/>
              <w:textAlignment w:val="baseline"/>
              <w:rPr>
                <w:rFonts w:ascii="宋体" w:hAnsi="宋体" w:cs="宋体"/>
                <w:sz w:val="18"/>
                <w:szCs w:val="18"/>
              </w:rPr>
            </w:pPr>
            <w:r>
              <w:rPr>
                <w:rFonts w:hint="eastAsia" w:ascii="宋体" w:hAnsi="宋体" w:cs="宋体"/>
                <w:sz w:val="18"/>
                <w:szCs w:val="18"/>
              </w:rPr>
              <w:t>基础的营养补充剂，提升身体营养状态，微量元素营养补充，促进术后恢复及促进体格生长、发育，改善缺铁、贫血等</w:t>
            </w:r>
          </w:p>
        </w:tc>
        <w:tc>
          <w:tcPr>
            <w:tcW w:w="2119" w:type="dxa"/>
            <w:vMerge w:val="restart"/>
            <w:vAlign w:val="center"/>
          </w:tcPr>
          <w:p>
            <w:pPr>
              <w:widowControl/>
              <w:spacing w:line="360" w:lineRule="exact"/>
              <w:jc w:val="left"/>
              <w:textAlignment w:val="baseline"/>
              <w:rPr>
                <w:rFonts w:ascii="宋体" w:hAnsi="宋体" w:cs="宋体"/>
                <w:sz w:val="18"/>
                <w:szCs w:val="18"/>
              </w:rPr>
            </w:pPr>
            <w:r>
              <w:rPr>
                <w:rFonts w:hint="eastAsia" w:ascii="宋体" w:hAnsi="宋体" w:cs="宋体"/>
                <w:color w:val="auto"/>
                <w:sz w:val="18"/>
                <w:szCs w:val="18"/>
              </w:rPr>
              <w:t>1. 适宜人群：儿童（5-10岁，含1</w:t>
            </w:r>
            <w:r>
              <w:rPr>
                <w:rFonts w:ascii="宋体" w:hAnsi="宋体" w:cs="宋体"/>
                <w:color w:val="auto"/>
                <w:sz w:val="18"/>
                <w:szCs w:val="18"/>
              </w:rPr>
              <w:t>0</w:t>
            </w:r>
            <w:r>
              <w:rPr>
                <w:rFonts w:hint="eastAsia" w:ascii="宋体" w:hAnsi="宋体" w:cs="宋体"/>
                <w:color w:val="auto"/>
                <w:sz w:val="18"/>
                <w:szCs w:val="18"/>
              </w:rPr>
              <w:t>岁）。</w:t>
            </w: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产品应当符合相关国家生产及质量标准的要求：GB22570或GB7101，如是保健食品的需取得国家市场监督管理总局批准的保健食品证书或备案证。3.保质期：产品质保期不低于一年半，产品到货有效期需大于9个月。</w:t>
            </w:r>
            <w:r>
              <w:rPr>
                <w:rFonts w:ascii="宋体" w:hAnsi="宋体" w:cs="宋体"/>
                <w:sz w:val="18"/>
                <w:szCs w:val="18"/>
              </w:rPr>
              <w:t>4</w:t>
            </w:r>
            <w:r>
              <w:rPr>
                <w:rFonts w:hint="eastAsia" w:ascii="宋体" w:hAnsi="宋体" w:cs="宋体"/>
                <w:sz w:val="18"/>
                <w:szCs w:val="18"/>
              </w:rPr>
              <w:t>.价格要求</w:t>
            </w:r>
            <w:r>
              <w:rPr>
                <w:rFonts w:hint="eastAsia" w:ascii="宋体" w:hAnsi="宋体" w:cs="宋体"/>
                <w:color w:val="auto"/>
                <w:sz w:val="18"/>
                <w:szCs w:val="18"/>
              </w:rPr>
              <w:t>：每人7盒，</w:t>
            </w:r>
            <w:r>
              <w:rPr>
                <w:rFonts w:hint="eastAsia" w:ascii="宋体" w:hAnsi="宋体" w:cs="宋体"/>
                <w:sz w:val="18"/>
                <w:szCs w:val="18"/>
              </w:rPr>
              <w:t>固定价格，包含运输、装卸费、税费等在内的全部费用。价格经双方确认后，无论市场价格怎样变化，合同期内供货价格将不予调整。</w:t>
            </w:r>
          </w:p>
        </w:tc>
        <w:tc>
          <w:tcPr>
            <w:tcW w:w="1925" w:type="dxa"/>
            <w:tcBorders>
              <w:bottom w:val="single" w:color="auto" w:sz="4" w:space="0"/>
              <w:right w:val="single" w:color="auto" w:sz="4" w:space="0"/>
            </w:tcBorders>
            <w:vAlign w:val="center"/>
          </w:tcPr>
          <w:p>
            <w:pPr>
              <w:pStyle w:val="5"/>
              <w:spacing w:line="300" w:lineRule="auto"/>
              <w:ind w:left="0" w:leftChars="0"/>
              <w:jc w:val="center"/>
              <w:rPr>
                <w:rFonts w:ascii="宋体" w:hAnsi="宋体" w:cs="宋体"/>
                <w:b/>
                <w:sz w:val="18"/>
                <w:szCs w:val="18"/>
              </w:rPr>
            </w:pPr>
            <w:r>
              <w:rPr>
                <w:rFonts w:hint="eastAsia" w:ascii="宋体" w:hAnsi="宋体" w:cs="宋体"/>
                <w:b/>
                <w:sz w:val="18"/>
                <w:szCs w:val="18"/>
              </w:rPr>
              <w:t>项目</w:t>
            </w:r>
          </w:p>
        </w:tc>
        <w:tc>
          <w:tcPr>
            <w:tcW w:w="1860" w:type="dxa"/>
            <w:tcBorders>
              <w:left w:val="single" w:color="auto" w:sz="4" w:space="0"/>
              <w:bottom w:val="single" w:color="auto" w:sz="4" w:space="0"/>
            </w:tcBorders>
            <w:vAlign w:val="center"/>
          </w:tcPr>
          <w:p>
            <w:pPr>
              <w:pStyle w:val="5"/>
              <w:spacing w:line="300" w:lineRule="auto"/>
              <w:ind w:left="0" w:leftChars="0"/>
              <w:jc w:val="center"/>
              <w:rPr>
                <w:rFonts w:ascii="宋体" w:hAnsi="宋体" w:cs="宋体"/>
                <w:b/>
                <w:sz w:val="18"/>
                <w:szCs w:val="18"/>
              </w:rPr>
            </w:pPr>
            <w:r>
              <w:rPr>
                <w:rFonts w:hint="eastAsia" w:ascii="宋体" w:hAnsi="宋体" w:cs="宋体"/>
                <w:b/>
                <w:sz w:val="18"/>
                <w:szCs w:val="18"/>
              </w:rPr>
              <w:t>每份含量</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维生素D3（μg）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不低于</w:t>
            </w:r>
            <w:r>
              <w:rPr>
                <w:rFonts w:cs="宋体" w:asciiTheme="minorEastAsia" w:hAnsiTheme="minorEastAsia" w:eastAsiaTheme="minorEastAsia"/>
                <w:color w:val="auto"/>
                <w:sz w:val="18"/>
                <w:szCs w:val="18"/>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维生素B1（mg）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不低于0</w:t>
            </w:r>
            <w:r>
              <w:rPr>
                <w:rFonts w:cs="宋体" w:asciiTheme="minorEastAsia" w:hAnsiTheme="minorEastAsia" w:eastAsiaTheme="minorEastAsia"/>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维生素B2（mg）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不低于0</w:t>
            </w:r>
            <w:r>
              <w:rPr>
                <w:rFonts w:cs="宋体" w:asciiTheme="minorEastAsia" w:hAnsiTheme="minorEastAsia" w:eastAsiaTheme="minorEastAsia"/>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维生素B6（mg）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不低于0</w:t>
            </w:r>
            <w:r>
              <w:rPr>
                <w:rFonts w:cs="宋体" w:asciiTheme="minorEastAsia" w:hAnsiTheme="minorEastAsia" w:eastAsiaTheme="minorEastAsia"/>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维生素B12（μg）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不低于0</w:t>
            </w:r>
            <w:r>
              <w:rPr>
                <w:rFonts w:cs="宋体" w:asciiTheme="minorEastAsia" w:hAnsiTheme="minorEastAsia" w:eastAsiaTheme="minorEastAsia"/>
                <w:color w:val="auto"/>
                <w:sz w:val="18"/>
                <w:szCs w:val="18"/>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维生素C（mg）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维生素E（mg）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烟酰胺（mg）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叶酸（μg）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硒（μg）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不低于1</w:t>
            </w:r>
            <w:r>
              <w:rPr>
                <w:rFonts w:cs="宋体" w:asciiTheme="majorEastAsia" w:hAnsiTheme="majorEastAsia" w:eastAsiaTheme="majorEastAsia"/>
                <w:color w:val="auto"/>
                <w:sz w:val="18"/>
                <w:szCs w:val="18"/>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铁（mg）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35" w:type="dxa"/>
            <w:vMerge w:val="continue"/>
            <w:vAlign w:val="center"/>
          </w:tcPr>
          <w:p>
            <w:pPr>
              <w:widowControl/>
              <w:spacing w:line="360" w:lineRule="exact"/>
              <w:jc w:val="center"/>
              <w:textAlignment w:val="baseline"/>
              <w:rPr>
                <w:rFonts w:ascii="仿宋" w:hAnsi="仿宋" w:eastAsia="仿宋" w:cs="仿宋"/>
                <w:b/>
                <w:bCs/>
                <w:sz w:val="22"/>
                <w:szCs w:val="22"/>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righ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锌（mg）</w:t>
            </w:r>
          </w:p>
        </w:tc>
        <w:tc>
          <w:tcPr>
            <w:tcW w:w="1860" w:type="dxa"/>
            <w:tcBorders>
              <w:top w:val="single" w:color="auto" w:sz="4" w:space="0"/>
              <w:left w:val="single" w:color="auto" w:sz="4" w:space="0"/>
            </w:tcBorders>
            <w:vAlign w:val="center"/>
          </w:tcPr>
          <w:p>
            <w:pPr>
              <w:pStyle w:val="5"/>
              <w:spacing w:line="300" w:lineRule="auto"/>
              <w:ind w:left="0" w:leftChars="0"/>
              <w:jc w:val="center"/>
              <w:rPr>
                <w:rFonts w:cs="宋体" w:asciiTheme="majorEastAsia" w:hAnsiTheme="majorEastAsia" w:eastAsiaTheme="majorEastAsia"/>
                <w:color w:val="auto"/>
                <w:sz w:val="18"/>
                <w:szCs w:val="18"/>
                <w:highlight w:val="none"/>
              </w:rPr>
            </w:pPr>
            <w:r>
              <w:rPr>
                <w:rFonts w:hint="eastAsia" w:cs="宋体" w:asciiTheme="majorEastAsia" w:hAnsiTheme="majorEastAsia" w:eastAsiaTheme="majorEastAsia"/>
                <w:color w:val="auto"/>
                <w:sz w:val="18"/>
                <w:szCs w:val="18"/>
                <w:highlight w:val="none"/>
              </w:rPr>
              <w:t>不低于</w:t>
            </w:r>
            <w:r>
              <w:rPr>
                <w:rFonts w:cs="宋体" w:asciiTheme="majorEastAsia" w:hAnsiTheme="majorEastAsia" w:eastAsiaTheme="majorEastAsia"/>
                <w:color w:val="auto"/>
                <w:sz w:val="18"/>
                <w:szCs w:val="18"/>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35" w:type="dxa"/>
            <w:vMerge w:val="restart"/>
            <w:vAlign w:val="center"/>
          </w:tcPr>
          <w:p>
            <w:pPr>
              <w:widowControl/>
              <w:spacing w:line="360" w:lineRule="exact"/>
              <w:jc w:val="center"/>
              <w:textAlignment w:val="baseline"/>
              <w:rPr>
                <w:rFonts w:cs="宋体" w:asciiTheme="majorEastAsia" w:hAnsiTheme="majorEastAsia" w:eastAsiaTheme="majorEastAsia"/>
                <w:b/>
                <w:kern w:val="0"/>
                <w:szCs w:val="21"/>
              </w:rPr>
            </w:pPr>
            <w:r>
              <w:rPr>
                <w:rFonts w:hint="eastAsia" w:cs="仿宋" w:asciiTheme="majorEastAsia" w:hAnsiTheme="majorEastAsia" w:eastAsiaTheme="majorEastAsia"/>
                <w:b/>
                <w:bCs/>
                <w:szCs w:val="21"/>
              </w:rPr>
              <w:t>多种维生素矿物质软胶囊，</w:t>
            </w:r>
            <w:r>
              <w:rPr>
                <w:rFonts w:hint="eastAsia" w:cs="仿宋" w:asciiTheme="majorEastAsia" w:hAnsiTheme="majorEastAsia" w:eastAsiaTheme="majorEastAsia"/>
                <w:b/>
                <w:bCs/>
                <w:color w:val="auto"/>
                <w:szCs w:val="21"/>
              </w:rPr>
              <w:t>约</w:t>
            </w:r>
            <w:r>
              <w:rPr>
                <w:rFonts w:hint="eastAsia" w:cs="宋体" w:asciiTheme="majorEastAsia" w:hAnsiTheme="majorEastAsia" w:eastAsiaTheme="majorEastAsia"/>
                <w:b/>
                <w:color w:val="auto"/>
                <w:szCs w:val="21"/>
              </w:rPr>
              <w:t>220mg*60粒/盒</w:t>
            </w:r>
          </w:p>
        </w:tc>
        <w:tc>
          <w:tcPr>
            <w:tcW w:w="1417" w:type="dxa"/>
            <w:vMerge w:val="restart"/>
            <w:vAlign w:val="center"/>
          </w:tcPr>
          <w:p>
            <w:pPr>
              <w:widowControl/>
              <w:spacing w:line="360" w:lineRule="exact"/>
              <w:textAlignment w:val="baseline"/>
              <w:rPr>
                <w:rFonts w:ascii="宋体" w:hAnsi="宋体" w:cs="宋体"/>
                <w:sz w:val="18"/>
                <w:szCs w:val="18"/>
              </w:rPr>
            </w:pPr>
            <w:r>
              <w:rPr>
                <w:rFonts w:hint="eastAsia" w:ascii="宋体" w:hAnsi="宋体" w:cs="宋体"/>
                <w:sz w:val="18"/>
                <w:szCs w:val="18"/>
              </w:rPr>
              <w:t>基础的营养补充剂，提升身体营养状态，微量元素营养补充，促进术后恢复及促进体格生长、发育，改善缺铁、贫血等</w:t>
            </w:r>
          </w:p>
        </w:tc>
        <w:tc>
          <w:tcPr>
            <w:tcW w:w="2119" w:type="dxa"/>
            <w:vMerge w:val="restart"/>
            <w:vAlign w:val="center"/>
          </w:tcPr>
          <w:p>
            <w:pPr>
              <w:widowControl/>
              <w:spacing w:line="360" w:lineRule="exact"/>
              <w:textAlignment w:val="baseline"/>
              <w:rPr>
                <w:rFonts w:ascii="宋体" w:hAnsi="宋体" w:cs="宋体"/>
                <w:sz w:val="18"/>
                <w:szCs w:val="18"/>
              </w:rPr>
            </w:pPr>
            <w:r>
              <w:rPr>
                <w:rFonts w:hint="eastAsia" w:ascii="宋体" w:hAnsi="宋体" w:cs="宋体"/>
                <w:color w:val="auto"/>
                <w:sz w:val="18"/>
                <w:szCs w:val="18"/>
              </w:rPr>
              <w:t>1. 适宜人群：青少年1</w:t>
            </w:r>
            <w:r>
              <w:rPr>
                <w:rFonts w:ascii="宋体" w:hAnsi="宋体" w:cs="宋体"/>
                <w:color w:val="auto"/>
                <w:sz w:val="18"/>
                <w:szCs w:val="18"/>
              </w:rPr>
              <w:t>0</w:t>
            </w:r>
            <w:r>
              <w:rPr>
                <w:rFonts w:hint="eastAsia" w:ascii="宋体" w:hAnsi="宋体" w:cs="宋体"/>
                <w:color w:val="auto"/>
                <w:sz w:val="18"/>
                <w:szCs w:val="18"/>
              </w:rPr>
              <w:t>岁以上至18岁。</w:t>
            </w: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产品应当符合相关国家生产及质量标准的要求：GB22570或GB7101，如是保健食品的需取得国家市场监督管理总局批准的保健食品证书或备案证。</w:t>
            </w:r>
            <w:r>
              <w:rPr>
                <w:rFonts w:ascii="宋体" w:hAnsi="宋体" w:cs="宋体"/>
                <w:sz w:val="18"/>
                <w:szCs w:val="18"/>
              </w:rPr>
              <w:t>3</w:t>
            </w:r>
            <w:r>
              <w:rPr>
                <w:rFonts w:hint="eastAsia" w:ascii="宋体" w:hAnsi="宋体" w:cs="宋体"/>
                <w:sz w:val="18"/>
                <w:szCs w:val="18"/>
              </w:rPr>
              <w:t>.保质期：产品质保期不低于一年半，产品到货有效期需大于9个月。</w:t>
            </w:r>
            <w:r>
              <w:rPr>
                <w:rFonts w:ascii="宋体" w:hAnsi="宋体" w:cs="宋体"/>
                <w:sz w:val="18"/>
                <w:szCs w:val="18"/>
              </w:rPr>
              <w:t>4</w:t>
            </w:r>
            <w:r>
              <w:rPr>
                <w:rFonts w:hint="eastAsia" w:ascii="宋体" w:hAnsi="宋体" w:cs="宋体"/>
                <w:sz w:val="18"/>
                <w:szCs w:val="18"/>
              </w:rPr>
              <w:t>.价格要求：</w:t>
            </w:r>
            <w:r>
              <w:rPr>
                <w:rFonts w:hint="eastAsia" w:ascii="宋体" w:hAnsi="宋体" w:cs="宋体"/>
                <w:color w:val="auto"/>
                <w:sz w:val="18"/>
                <w:szCs w:val="18"/>
              </w:rPr>
              <w:t>每人7盒，</w:t>
            </w:r>
            <w:r>
              <w:rPr>
                <w:rFonts w:hint="eastAsia" w:ascii="宋体" w:hAnsi="宋体" w:cs="宋体"/>
                <w:sz w:val="18"/>
                <w:szCs w:val="18"/>
              </w:rPr>
              <w:t>固定价格，包含运输、装卸费、税费等在内的全部费用。价格经双方确认后，无论市场价格怎样变化，合同期内供货价格将不予调整。</w:t>
            </w:r>
          </w:p>
        </w:tc>
        <w:tc>
          <w:tcPr>
            <w:tcW w:w="1925" w:type="dxa"/>
            <w:tcBorders>
              <w:bottom w:val="single" w:color="auto" w:sz="4" w:space="0"/>
              <w:right w:val="single" w:color="auto" w:sz="4" w:space="0"/>
            </w:tcBorders>
            <w:vAlign w:val="center"/>
          </w:tcPr>
          <w:p>
            <w:pPr>
              <w:pStyle w:val="5"/>
              <w:spacing w:line="300" w:lineRule="auto"/>
              <w:ind w:left="0" w:leftChars="0"/>
              <w:jc w:val="center"/>
              <w:rPr>
                <w:rFonts w:ascii="宋体" w:hAnsi="宋体" w:cs="宋体"/>
                <w:b/>
                <w:sz w:val="18"/>
                <w:szCs w:val="18"/>
              </w:rPr>
            </w:pPr>
            <w:r>
              <w:rPr>
                <w:rFonts w:hint="eastAsia" w:ascii="宋体" w:hAnsi="宋体" w:cs="宋体"/>
                <w:b/>
                <w:sz w:val="18"/>
                <w:szCs w:val="18"/>
              </w:rPr>
              <w:t>项目</w:t>
            </w:r>
          </w:p>
        </w:tc>
        <w:tc>
          <w:tcPr>
            <w:tcW w:w="1860" w:type="dxa"/>
            <w:tcBorders>
              <w:left w:val="single" w:color="auto" w:sz="4" w:space="0"/>
              <w:bottom w:val="single" w:color="auto" w:sz="4" w:space="0"/>
            </w:tcBorders>
            <w:vAlign w:val="center"/>
          </w:tcPr>
          <w:p>
            <w:pPr>
              <w:pStyle w:val="5"/>
              <w:spacing w:line="300" w:lineRule="auto"/>
              <w:ind w:left="0" w:leftChars="0"/>
              <w:jc w:val="center"/>
              <w:rPr>
                <w:rFonts w:ascii="宋体" w:hAnsi="宋体" w:cs="宋体"/>
                <w:b/>
                <w:sz w:val="18"/>
                <w:szCs w:val="18"/>
              </w:rPr>
            </w:pPr>
            <w:r>
              <w:rPr>
                <w:rFonts w:hint="eastAsia" w:ascii="宋体" w:hAnsi="宋体" w:cs="宋体"/>
                <w:b/>
                <w:sz w:val="18"/>
                <w:szCs w:val="18"/>
              </w:rPr>
              <w:t>每份含量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维生素D3（μg）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w:t>
            </w:r>
            <w:r>
              <w:rPr>
                <w:rFonts w:ascii="宋体" w:hAnsi="宋体" w:cs="宋体"/>
                <w:color w:val="auto"/>
                <w:sz w:val="18"/>
                <w:szCs w:val="18"/>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维生素B1（mg）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不低于0</w:t>
            </w:r>
            <w:r>
              <w:rPr>
                <w:rFonts w:ascii="宋体" w:hAnsi="宋体" w:cs="宋体"/>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维生素B2（mg）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不低于0</w:t>
            </w:r>
            <w:r>
              <w:rPr>
                <w:rFonts w:ascii="宋体" w:hAnsi="宋体" w:cs="宋体"/>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维生素B6（mg）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不低于0</w:t>
            </w:r>
            <w:r>
              <w:rPr>
                <w:rFonts w:ascii="宋体" w:hAnsi="宋体" w:cs="宋体"/>
                <w:color w:val="auto"/>
                <w:sz w:val="18"/>
                <w:szCs w:val="1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inorEastAsia" w:hAnsiTheme="minorEastAsia" w:eastAsiaTheme="minorEastAsia"/>
                <w:color w:val="auto"/>
                <w:kern w:val="0"/>
                <w:sz w:val="18"/>
                <w:szCs w:val="18"/>
                <w:highlight w:val="none"/>
                <w:lang w:bidi="ar"/>
              </w:rPr>
              <w:t>维生素B12（μg）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不低于0</w:t>
            </w:r>
            <w:r>
              <w:rPr>
                <w:rFonts w:ascii="宋体" w:hAnsi="宋体" w:cs="宋体"/>
                <w:color w:val="auto"/>
                <w:sz w:val="18"/>
                <w:szCs w:val="18"/>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维生素C（mg）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w:t>
            </w:r>
            <w:r>
              <w:rPr>
                <w:rFonts w:ascii="宋体" w:hAnsi="宋体" w:cs="宋体"/>
                <w:color w:val="auto"/>
                <w:sz w:val="18"/>
                <w:szCs w:val="18"/>
                <w:highlight w:val="none"/>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维生素E（mg）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w:t>
            </w:r>
            <w:r>
              <w:rPr>
                <w:rFonts w:ascii="宋体" w:hAnsi="宋体" w:cs="宋体"/>
                <w:color w:val="auto"/>
                <w:sz w:val="18"/>
                <w:szCs w:val="18"/>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烟酰胺（mg）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w:t>
            </w:r>
            <w:r>
              <w:rPr>
                <w:rFonts w:ascii="宋体" w:hAnsi="宋体" w:cs="宋体"/>
                <w:color w:val="auto"/>
                <w:sz w:val="18"/>
                <w:szCs w:val="18"/>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叶酸（μg）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不低于8</w:t>
            </w:r>
            <w:r>
              <w:rPr>
                <w:rFonts w:ascii="宋体" w:hAnsi="宋体" w:cs="宋体"/>
                <w:color w:val="auto"/>
                <w:sz w:val="18"/>
                <w:szCs w:val="18"/>
                <w:highlight w:val="none"/>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硒（μg）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不低于1</w:t>
            </w:r>
            <w:r>
              <w:rPr>
                <w:rFonts w:ascii="宋体" w:hAnsi="宋体" w:cs="宋体"/>
                <w:color w:val="auto"/>
                <w:sz w:val="18"/>
                <w:szCs w:val="18"/>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铁（mg）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不低于4</w:t>
            </w:r>
            <w:r>
              <w:rPr>
                <w:rFonts w:ascii="宋体" w:hAnsi="宋体" w:cs="宋体"/>
                <w:color w:val="auto"/>
                <w:sz w:val="18"/>
                <w:szCs w:val="18"/>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135" w:type="dxa"/>
            <w:vMerge w:val="continue"/>
            <w:vAlign w:val="center"/>
          </w:tcPr>
          <w:p>
            <w:pPr>
              <w:widowControl/>
              <w:spacing w:line="360" w:lineRule="exact"/>
              <w:jc w:val="center"/>
              <w:textAlignment w:val="baseline"/>
              <w:rPr>
                <w:rFonts w:cs="仿宋" w:asciiTheme="majorEastAsia" w:hAnsiTheme="majorEastAsia" w:eastAsiaTheme="majorEastAsia"/>
                <w:b/>
                <w:bCs/>
                <w:szCs w:val="21"/>
              </w:rPr>
            </w:pPr>
          </w:p>
        </w:tc>
        <w:tc>
          <w:tcPr>
            <w:tcW w:w="1417" w:type="dxa"/>
            <w:vMerge w:val="continue"/>
            <w:vAlign w:val="center"/>
          </w:tcPr>
          <w:p>
            <w:pPr>
              <w:widowControl/>
              <w:spacing w:line="360" w:lineRule="exact"/>
              <w:textAlignment w:val="baseline"/>
              <w:rPr>
                <w:rFonts w:ascii="宋体" w:hAnsi="宋体" w:cs="宋体"/>
                <w:sz w:val="18"/>
                <w:szCs w:val="18"/>
              </w:rPr>
            </w:pPr>
          </w:p>
        </w:tc>
        <w:tc>
          <w:tcPr>
            <w:tcW w:w="2119" w:type="dxa"/>
            <w:vMerge w:val="continue"/>
            <w:vAlign w:val="center"/>
          </w:tcPr>
          <w:p>
            <w:pPr>
              <w:widowControl/>
              <w:spacing w:line="360" w:lineRule="exact"/>
              <w:textAlignment w:val="baseline"/>
              <w:rPr>
                <w:rFonts w:ascii="宋体" w:hAnsi="宋体" w:cs="宋体"/>
                <w:sz w:val="18"/>
                <w:szCs w:val="18"/>
              </w:rPr>
            </w:pPr>
          </w:p>
        </w:tc>
        <w:tc>
          <w:tcPr>
            <w:tcW w:w="1925" w:type="dxa"/>
            <w:tcBorders>
              <w:top w:val="single" w:color="auto" w:sz="4" w:space="0"/>
              <w:bottom w:val="single" w:color="auto" w:sz="4" w:space="0"/>
              <w:right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cs="仿宋" w:asciiTheme="majorEastAsia" w:hAnsiTheme="majorEastAsia" w:eastAsiaTheme="majorEastAsia"/>
                <w:color w:val="auto"/>
                <w:kern w:val="0"/>
                <w:sz w:val="18"/>
                <w:szCs w:val="18"/>
                <w:highlight w:val="none"/>
                <w:lang w:bidi="ar"/>
              </w:rPr>
              <w:t>锌（mg）</w:t>
            </w:r>
          </w:p>
        </w:tc>
        <w:tc>
          <w:tcPr>
            <w:tcW w:w="1860" w:type="dxa"/>
            <w:tcBorders>
              <w:top w:val="single" w:color="auto" w:sz="4" w:space="0"/>
              <w:left w:val="single" w:color="auto" w:sz="4" w:space="0"/>
              <w:bottom w:val="single" w:color="auto" w:sz="4" w:space="0"/>
            </w:tcBorders>
            <w:vAlign w:val="center"/>
          </w:tcPr>
          <w:p>
            <w:pPr>
              <w:pStyle w:val="5"/>
              <w:spacing w:line="300" w:lineRule="auto"/>
              <w:ind w:left="0" w:leftChars="0"/>
              <w:jc w:val="center"/>
              <w:rPr>
                <w:rFonts w:ascii="宋体" w:hAnsi="宋体" w:cs="宋体"/>
                <w:color w:val="auto"/>
                <w:sz w:val="18"/>
                <w:szCs w:val="18"/>
                <w:highlight w:val="none"/>
              </w:rPr>
            </w:pPr>
            <w:r>
              <w:rPr>
                <w:rFonts w:hint="eastAsia" w:ascii="宋体" w:hAnsi="宋体" w:cs="宋体"/>
                <w:color w:val="auto"/>
                <w:sz w:val="18"/>
                <w:szCs w:val="18"/>
                <w:highlight w:val="none"/>
              </w:rPr>
              <w:t>不低于2</w:t>
            </w:r>
            <w:r>
              <w:rPr>
                <w:rFonts w:ascii="宋体" w:hAnsi="宋体" w:cs="宋体"/>
                <w:color w:val="auto"/>
                <w:sz w:val="18"/>
                <w:szCs w:val="18"/>
                <w:highlight w:val="none"/>
              </w:rPr>
              <w:t>.0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MzBhMGVmNGU1MDFjMzNkMjIzZjczYjdmNmVjNjUifQ=="/>
  </w:docVars>
  <w:rsids>
    <w:rsidRoot w:val="301E77B1"/>
    <w:rsid w:val="00054C2E"/>
    <w:rsid w:val="00075510"/>
    <w:rsid w:val="002723A4"/>
    <w:rsid w:val="002778E4"/>
    <w:rsid w:val="00424DFA"/>
    <w:rsid w:val="0052506A"/>
    <w:rsid w:val="00583F23"/>
    <w:rsid w:val="005C2A2F"/>
    <w:rsid w:val="0065592A"/>
    <w:rsid w:val="006C2C38"/>
    <w:rsid w:val="006C49A8"/>
    <w:rsid w:val="00785EF8"/>
    <w:rsid w:val="009E4E75"/>
    <w:rsid w:val="00A25415"/>
    <w:rsid w:val="00A70203"/>
    <w:rsid w:val="00B666A9"/>
    <w:rsid w:val="00BF5183"/>
    <w:rsid w:val="00C30BAE"/>
    <w:rsid w:val="00D0270C"/>
    <w:rsid w:val="00D52406"/>
    <w:rsid w:val="00E77FCD"/>
    <w:rsid w:val="00F85A57"/>
    <w:rsid w:val="00F908FD"/>
    <w:rsid w:val="0FD33D3C"/>
    <w:rsid w:val="10B739A8"/>
    <w:rsid w:val="111B02EE"/>
    <w:rsid w:val="18266606"/>
    <w:rsid w:val="2275460B"/>
    <w:rsid w:val="24303C58"/>
    <w:rsid w:val="2A890B92"/>
    <w:rsid w:val="2D08409A"/>
    <w:rsid w:val="301E77B1"/>
    <w:rsid w:val="31A30365"/>
    <w:rsid w:val="38A95BB5"/>
    <w:rsid w:val="38BD7FF7"/>
    <w:rsid w:val="49A563CB"/>
    <w:rsid w:val="4C430774"/>
    <w:rsid w:val="552B61D3"/>
    <w:rsid w:val="5BCA7F13"/>
    <w:rsid w:val="6E9F2B22"/>
    <w:rsid w:val="707E5083"/>
    <w:rsid w:val="70AB5A57"/>
    <w:rsid w:val="741D0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b/>
      <w:bCs/>
      <w:sz w:val="2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1"/>
    <w:qFormat/>
    <w:uiPriority w:val="0"/>
    <w:pPr>
      <w:ind w:firstLine="420" w:firstLineChars="100"/>
    </w:pPr>
  </w:style>
  <w:style w:type="table" w:styleId="9">
    <w:name w:val="Table Grid"/>
    <w:basedOn w:val="8"/>
    <w:qFormat/>
    <w:uiPriority w:val="0"/>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TOC 标题1"/>
    <w:basedOn w:val="3"/>
    <w:next w:val="1"/>
    <w:unhideWhenUsed/>
    <w:qFormat/>
    <w:uiPriority w:val="39"/>
    <w:pPr>
      <w:widowControl/>
      <w:spacing w:before="480" w:line="276" w:lineRule="auto"/>
      <w:jc w:val="left"/>
      <w:outlineLvl w:val="9"/>
    </w:pPr>
    <w:rPr>
      <w:rFonts w:ascii="Cambria" w:hAnsi="Cambria"/>
      <w:color w:val="366091"/>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1139</Words>
  <Characters>1330</Characters>
  <Lines>4</Lines>
  <Paragraphs>3</Paragraphs>
  <TotalTime>170</TotalTime>
  <ScaleCrop>false</ScaleCrop>
  <LinksUpToDate>false</LinksUpToDate>
  <CharactersWithSpaces>1335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2023-05-18T09:25:00Z</dcterms:created>
  <dc:creator>甜蜜击杀</dc:creator>
  <cp:lastModifiedBy>甜蜜击杀</cp:lastModifiedBy>
  <dcterms:modified xsi:type="dcterms:W3CDTF">2023-05-29T01:29:55Z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6E84C326CD8243D69758A120911B8E24_11</vt:lpwstr>
  </property>
</Properties>
</file>