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275" w:rsidRDefault="001441A8">
      <w:pPr>
        <w:jc w:val="center"/>
        <w:rPr>
          <w:rFonts w:ascii="长城小标宋体" w:eastAsia="长城小标宋体"/>
          <w:b/>
          <w:sz w:val="36"/>
          <w:szCs w:val="36"/>
        </w:rPr>
      </w:pPr>
      <w:r>
        <w:rPr>
          <w:rFonts w:ascii="长城小标宋体" w:eastAsia="长城小标宋体" w:hint="eastAsia"/>
          <w:b/>
          <w:sz w:val="36"/>
          <w:szCs w:val="36"/>
        </w:rPr>
        <w:t>关于广西壮族自治区人民医院康复医学科医疗设备院内议价公告</w:t>
      </w:r>
    </w:p>
    <w:p w:rsidR="00EB3275" w:rsidRDefault="00EB3275">
      <w:pPr>
        <w:jc w:val="center"/>
        <w:rPr>
          <w:rFonts w:ascii="长城小标宋体" w:eastAsia="长城小标宋体"/>
          <w:b/>
          <w:sz w:val="36"/>
          <w:szCs w:val="36"/>
        </w:rPr>
      </w:pPr>
    </w:p>
    <w:p w:rsidR="00EB3275" w:rsidRDefault="001441A8">
      <w:pPr>
        <w:ind w:firstLineChars="200" w:firstLine="560"/>
        <w:rPr>
          <w:rFonts w:ascii="仿宋" w:eastAsia="仿宋" w:hAnsi="仿宋"/>
          <w:sz w:val="28"/>
          <w:szCs w:val="28"/>
        </w:rPr>
      </w:pPr>
      <w:r>
        <w:rPr>
          <w:rFonts w:ascii="仿宋" w:eastAsia="仿宋" w:hAnsi="仿宋" w:hint="eastAsia"/>
          <w:sz w:val="28"/>
          <w:szCs w:val="28"/>
        </w:rPr>
        <w:t>按《广西壮族自治区人民医院招标采购管理办法（暂行）》等相关制度要求，拟对以下项目进行院内议价，现公告如下：</w:t>
      </w:r>
    </w:p>
    <w:p w:rsidR="00EB3275" w:rsidRDefault="001441A8">
      <w:pPr>
        <w:jc w:val="left"/>
        <w:rPr>
          <w:rFonts w:ascii="宋体" w:eastAsia="宋体" w:hAnsi="宋体" w:cs="宋体"/>
          <w:sz w:val="28"/>
          <w:szCs w:val="28"/>
        </w:rPr>
      </w:pPr>
      <w:r>
        <w:rPr>
          <w:rFonts w:ascii="黑体" w:eastAsia="黑体" w:hAnsi="黑体" w:hint="eastAsia"/>
          <w:sz w:val="32"/>
          <w:szCs w:val="32"/>
        </w:rPr>
        <w:t>一、项目概况</w:t>
      </w:r>
    </w:p>
    <w:tbl>
      <w:tblPr>
        <w:tblStyle w:val="a3"/>
        <w:tblW w:w="8538" w:type="dxa"/>
        <w:tblLayout w:type="fixed"/>
        <w:tblLook w:val="04A0" w:firstRow="1" w:lastRow="0" w:firstColumn="1" w:lastColumn="0" w:noHBand="0" w:noVBand="1"/>
      </w:tblPr>
      <w:tblGrid>
        <w:gridCol w:w="1701"/>
        <w:gridCol w:w="3117"/>
        <w:gridCol w:w="968"/>
        <w:gridCol w:w="995"/>
        <w:gridCol w:w="1757"/>
      </w:tblGrid>
      <w:tr w:rsidR="00EB3275">
        <w:trPr>
          <w:trHeight w:val="1169"/>
        </w:trPr>
        <w:tc>
          <w:tcPr>
            <w:tcW w:w="1701"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科室</w:t>
            </w:r>
          </w:p>
        </w:tc>
        <w:tc>
          <w:tcPr>
            <w:tcW w:w="3117"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设备名称</w:t>
            </w:r>
          </w:p>
        </w:tc>
        <w:tc>
          <w:tcPr>
            <w:tcW w:w="1963" w:type="dxa"/>
            <w:gridSpan w:val="2"/>
          </w:tcPr>
          <w:p w:rsidR="00EB3275" w:rsidRDefault="001441A8">
            <w:pPr>
              <w:jc w:val="center"/>
              <w:rPr>
                <w:rFonts w:ascii="仿宋" w:eastAsia="仿宋" w:hAnsi="仿宋" w:cs="仿宋"/>
                <w:sz w:val="28"/>
                <w:szCs w:val="28"/>
              </w:rPr>
            </w:pPr>
            <w:r>
              <w:rPr>
                <w:rFonts w:ascii="仿宋" w:eastAsia="仿宋" w:hAnsi="仿宋" w:cs="仿宋" w:hint="eastAsia"/>
                <w:sz w:val="28"/>
                <w:szCs w:val="28"/>
              </w:rPr>
              <w:t>数量</w:t>
            </w:r>
          </w:p>
        </w:tc>
        <w:tc>
          <w:tcPr>
            <w:tcW w:w="1757"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预算单价（万元）</w:t>
            </w:r>
          </w:p>
        </w:tc>
      </w:tr>
      <w:tr w:rsidR="00EB3275">
        <w:trPr>
          <w:trHeight w:val="1178"/>
        </w:trPr>
        <w:tc>
          <w:tcPr>
            <w:tcW w:w="1701"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康复医学科</w:t>
            </w:r>
          </w:p>
        </w:tc>
        <w:tc>
          <w:tcPr>
            <w:tcW w:w="3117"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人体成分分析仪</w:t>
            </w:r>
          </w:p>
        </w:tc>
        <w:tc>
          <w:tcPr>
            <w:tcW w:w="968"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套</w:t>
            </w:r>
          </w:p>
        </w:tc>
        <w:tc>
          <w:tcPr>
            <w:tcW w:w="995"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1</w:t>
            </w:r>
          </w:p>
        </w:tc>
        <w:tc>
          <w:tcPr>
            <w:tcW w:w="1757"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28</w:t>
            </w:r>
          </w:p>
        </w:tc>
      </w:tr>
      <w:tr w:rsidR="00EB3275">
        <w:trPr>
          <w:trHeight w:val="1178"/>
        </w:trPr>
        <w:tc>
          <w:tcPr>
            <w:tcW w:w="1701"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康复医学科</w:t>
            </w:r>
          </w:p>
        </w:tc>
        <w:tc>
          <w:tcPr>
            <w:tcW w:w="3117"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六分钟步行试验系统</w:t>
            </w:r>
          </w:p>
        </w:tc>
        <w:tc>
          <w:tcPr>
            <w:tcW w:w="968"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套</w:t>
            </w:r>
          </w:p>
        </w:tc>
        <w:tc>
          <w:tcPr>
            <w:tcW w:w="995"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1</w:t>
            </w:r>
          </w:p>
        </w:tc>
        <w:tc>
          <w:tcPr>
            <w:tcW w:w="1757"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28</w:t>
            </w:r>
          </w:p>
        </w:tc>
      </w:tr>
      <w:tr w:rsidR="00EB3275">
        <w:trPr>
          <w:trHeight w:val="1178"/>
        </w:trPr>
        <w:tc>
          <w:tcPr>
            <w:tcW w:w="1701"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康复医学科</w:t>
            </w:r>
          </w:p>
        </w:tc>
        <w:tc>
          <w:tcPr>
            <w:tcW w:w="3117"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平衡功能评估与训练系统</w:t>
            </w:r>
          </w:p>
        </w:tc>
        <w:tc>
          <w:tcPr>
            <w:tcW w:w="968"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套</w:t>
            </w:r>
          </w:p>
        </w:tc>
        <w:tc>
          <w:tcPr>
            <w:tcW w:w="995"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1</w:t>
            </w:r>
          </w:p>
        </w:tc>
        <w:tc>
          <w:tcPr>
            <w:tcW w:w="1757"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22</w:t>
            </w:r>
          </w:p>
        </w:tc>
      </w:tr>
      <w:tr w:rsidR="00EB3275">
        <w:trPr>
          <w:trHeight w:val="1178"/>
        </w:trPr>
        <w:tc>
          <w:tcPr>
            <w:tcW w:w="1701"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康复医学科</w:t>
            </w:r>
          </w:p>
        </w:tc>
        <w:tc>
          <w:tcPr>
            <w:tcW w:w="3117" w:type="dxa"/>
          </w:tcPr>
          <w:p w:rsidR="00EB3275" w:rsidRDefault="001441A8">
            <w:pPr>
              <w:jc w:val="center"/>
              <w:rPr>
                <w:rFonts w:ascii="仿宋" w:eastAsia="仿宋" w:hAnsi="仿宋" w:cs="仿宋"/>
                <w:sz w:val="28"/>
                <w:szCs w:val="28"/>
              </w:rPr>
            </w:pPr>
            <w:r>
              <w:rPr>
                <w:rFonts w:ascii="仿宋" w:eastAsia="仿宋" w:hAnsi="仿宋" w:cs="仿宋" w:hint="eastAsia"/>
                <w:kern w:val="0"/>
                <w:sz w:val="28"/>
                <w:szCs w:val="28"/>
              </w:rPr>
              <w:t>数字肌力测试仪</w:t>
            </w:r>
          </w:p>
        </w:tc>
        <w:tc>
          <w:tcPr>
            <w:tcW w:w="968"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套</w:t>
            </w:r>
          </w:p>
        </w:tc>
        <w:tc>
          <w:tcPr>
            <w:tcW w:w="995"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1</w:t>
            </w:r>
          </w:p>
        </w:tc>
        <w:tc>
          <w:tcPr>
            <w:tcW w:w="1757" w:type="dxa"/>
          </w:tcPr>
          <w:p w:rsidR="00EB3275" w:rsidRDefault="001441A8">
            <w:pPr>
              <w:jc w:val="center"/>
              <w:rPr>
                <w:rFonts w:ascii="仿宋" w:eastAsia="仿宋" w:hAnsi="仿宋" w:cs="仿宋"/>
                <w:sz w:val="28"/>
                <w:szCs w:val="28"/>
              </w:rPr>
            </w:pPr>
            <w:r>
              <w:rPr>
                <w:rFonts w:ascii="仿宋" w:eastAsia="仿宋" w:hAnsi="仿宋" w:cs="仿宋" w:hint="eastAsia"/>
                <w:sz w:val="28"/>
                <w:szCs w:val="28"/>
              </w:rPr>
              <w:t>12.8</w:t>
            </w:r>
          </w:p>
        </w:tc>
      </w:tr>
    </w:tbl>
    <w:p w:rsidR="00EB3275" w:rsidRDefault="001441A8">
      <w:pPr>
        <w:rPr>
          <w:rFonts w:ascii="黑体" w:eastAsia="黑体" w:hAnsi="黑体"/>
          <w:sz w:val="32"/>
          <w:szCs w:val="32"/>
        </w:rPr>
      </w:pPr>
      <w:r>
        <w:rPr>
          <w:rFonts w:ascii="黑体" w:eastAsia="黑体" w:hAnsi="黑体" w:hint="eastAsia"/>
          <w:sz w:val="32"/>
          <w:szCs w:val="32"/>
        </w:rPr>
        <w:t>二、报名要求</w:t>
      </w:r>
    </w:p>
    <w:p w:rsidR="00EB3275" w:rsidRDefault="001441A8">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原则上只接受线上报名，请各品牌代理商或厂家见本公告后，将报名资料扫描件(PDF格式，</w:t>
      </w:r>
      <w:proofErr w:type="gramStart"/>
      <w:r>
        <w:rPr>
          <w:rFonts w:ascii="仿宋" w:eastAsia="仿宋" w:hAnsi="仿宋" w:hint="eastAsia"/>
          <w:sz w:val="28"/>
          <w:szCs w:val="28"/>
        </w:rPr>
        <w:t>请确保</w:t>
      </w:r>
      <w:proofErr w:type="gramEnd"/>
      <w:r>
        <w:rPr>
          <w:rFonts w:ascii="仿宋" w:eastAsia="仿宋" w:hAnsi="仿宋" w:hint="eastAsia"/>
          <w:sz w:val="28"/>
          <w:szCs w:val="28"/>
        </w:rPr>
        <w:t>扫描后资料清晰可见，否则视为报名无效)发至邮箱qyyzbb@163.com，并在邮件标题注明挂网日期、报名公司名称、所报科室、项目名称。</w:t>
      </w:r>
    </w:p>
    <w:p w:rsidR="00EB3275" w:rsidRDefault="001441A8">
      <w:pPr>
        <w:ind w:firstLineChars="200" w:firstLine="560"/>
        <w:rPr>
          <w:rFonts w:ascii="仿宋" w:eastAsia="仿宋" w:hAnsi="仿宋"/>
          <w:sz w:val="28"/>
          <w:szCs w:val="28"/>
        </w:rPr>
      </w:pPr>
      <w:r>
        <w:rPr>
          <w:rFonts w:ascii="仿宋" w:eastAsia="仿宋" w:hAnsi="仿宋" w:hint="eastAsia"/>
          <w:sz w:val="28"/>
          <w:szCs w:val="28"/>
        </w:rPr>
        <w:t>2.报名材料首页注明挂网日期、所报科室、项目名称、产品厂家、</w:t>
      </w:r>
      <w:r>
        <w:rPr>
          <w:rFonts w:ascii="仿宋" w:eastAsia="仿宋" w:hAnsi="仿宋" w:hint="eastAsia"/>
          <w:sz w:val="28"/>
          <w:szCs w:val="28"/>
        </w:rPr>
        <w:lastRenderedPageBreak/>
        <w:t>型号、联系人、联系电话、电子邮箱（建议留QQ邮箱）、报名公司名称。</w:t>
      </w:r>
    </w:p>
    <w:p w:rsidR="00EB3275" w:rsidRDefault="001441A8">
      <w:pPr>
        <w:ind w:firstLineChars="200" w:firstLine="560"/>
        <w:rPr>
          <w:rFonts w:ascii="仿宋" w:eastAsia="仿宋" w:hAnsi="仿宋"/>
          <w:sz w:val="28"/>
          <w:szCs w:val="28"/>
        </w:rPr>
      </w:pPr>
      <w:r>
        <w:rPr>
          <w:rFonts w:ascii="仿宋" w:eastAsia="仿宋" w:hAnsi="仿宋" w:hint="eastAsia"/>
          <w:sz w:val="28"/>
          <w:szCs w:val="28"/>
        </w:rPr>
        <w:t>3.报名材料须提供供应商营业执照、生产厂家授权书、厂家生产许可证、产品注册证等证书复印件并加盖公章；设备参数中要求提供相关证明和其他材料的，请附上相关材料并加盖供应商公章。</w:t>
      </w:r>
    </w:p>
    <w:p w:rsidR="00EB3275" w:rsidRDefault="001441A8">
      <w:pPr>
        <w:ind w:firstLineChars="200" w:firstLine="560"/>
        <w:rPr>
          <w:rFonts w:ascii="仿宋" w:eastAsia="仿宋" w:hAnsi="仿宋"/>
          <w:sz w:val="28"/>
          <w:szCs w:val="28"/>
        </w:rPr>
      </w:pPr>
      <w:r>
        <w:rPr>
          <w:rFonts w:ascii="仿宋" w:eastAsia="仿宋" w:hAnsi="仿宋" w:hint="eastAsia"/>
          <w:sz w:val="28"/>
          <w:szCs w:val="28"/>
        </w:rPr>
        <w:t>4.院内议价为现场议价，请各供应商报名后准备好纸质议价材料参加现场议价，一式</w:t>
      </w:r>
      <w:r>
        <w:rPr>
          <w:rFonts w:ascii="仿宋" w:eastAsia="仿宋" w:hAnsi="仿宋"/>
          <w:sz w:val="28"/>
          <w:szCs w:val="28"/>
        </w:rPr>
        <w:t>8</w:t>
      </w:r>
      <w:r>
        <w:rPr>
          <w:rFonts w:ascii="仿宋" w:eastAsia="仿宋" w:hAnsi="仿宋" w:hint="eastAsia"/>
          <w:sz w:val="28"/>
          <w:szCs w:val="28"/>
        </w:rPr>
        <w:t>份，议价时间另行通知。</w:t>
      </w:r>
    </w:p>
    <w:p w:rsidR="00EB3275" w:rsidRDefault="001441A8">
      <w:pPr>
        <w:ind w:firstLineChars="200" w:firstLine="560"/>
        <w:rPr>
          <w:rFonts w:ascii="仿宋" w:eastAsia="仿宋" w:hAnsi="仿宋"/>
          <w:bCs/>
          <w:sz w:val="28"/>
          <w:szCs w:val="28"/>
        </w:rPr>
      </w:pPr>
      <w:r>
        <w:rPr>
          <w:rFonts w:ascii="仿宋" w:eastAsia="仿宋" w:hAnsi="仿宋" w:hint="eastAsia"/>
          <w:sz w:val="28"/>
          <w:szCs w:val="28"/>
        </w:rPr>
        <w:t>5</w:t>
      </w:r>
      <w:r>
        <w:rPr>
          <w:rFonts w:ascii="仿宋" w:eastAsia="仿宋" w:hAnsi="仿宋"/>
          <w:sz w:val="28"/>
          <w:szCs w:val="28"/>
        </w:rPr>
        <w:t>.</w:t>
      </w:r>
      <w:r>
        <w:rPr>
          <w:rFonts w:ascii="Microsoft YaHei UI" w:eastAsia="Microsoft YaHei UI" w:hAnsi="Microsoft YaHei UI" w:hint="eastAsia"/>
          <w:color w:val="E03E2D"/>
          <w:shd w:val="clear" w:color="auto" w:fill="FFFFFF"/>
        </w:rPr>
        <w:t xml:space="preserve"> </w:t>
      </w:r>
      <w:r>
        <w:rPr>
          <w:rFonts w:ascii="仿宋" w:eastAsia="仿宋" w:hAnsi="仿宋" w:hint="eastAsia"/>
          <w:color w:val="000000" w:themeColor="text1"/>
          <w:sz w:val="28"/>
          <w:szCs w:val="28"/>
          <w:shd w:val="clear" w:color="auto" w:fill="FFFFFF"/>
        </w:rPr>
        <w:t>供应商</w:t>
      </w:r>
      <w:r>
        <w:rPr>
          <w:rFonts w:ascii="仿宋" w:eastAsia="仿宋" w:hAnsi="仿宋" w:hint="eastAsia"/>
          <w:bCs/>
          <w:sz w:val="28"/>
          <w:szCs w:val="28"/>
        </w:rPr>
        <w:t>未被纳入广西壮族自治区人民医院失信供应商“黑名单”管理，否则报名无效。</w:t>
      </w:r>
    </w:p>
    <w:p w:rsidR="00EB3275" w:rsidRDefault="001441A8">
      <w:pPr>
        <w:ind w:firstLineChars="200" w:firstLine="560"/>
        <w:rPr>
          <w:rFonts w:ascii="仿宋" w:eastAsia="仿宋" w:hAnsi="仿宋"/>
          <w:bCs/>
          <w:sz w:val="28"/>
          <w:szCs w:val="28"/>
        </w:rPr>
      </w:pPr>
      <w:r>
        <w:rPr>
          <w:rFonts w:ascii="仿宋" w:eastAsia="仿宋" w:hAnsi="仿宋" w:hint="eastAsia"/>
          <w:bCs/>
          <w:sz w:val="28"/>
          <w:szCs w:val="28"/>
        </w:rPr>
        <w:t>（说明：</w:t>
      </w:r>
      <w:r>
        <w:rPr>
          <w:rFonts w:ascii="仿宋" w:eastAsia="仿宋" w:hAnsi="仿宋"/>
          <w:bCs/>
          <w:sz w:val="28"/>
          <w:szCs w:val="28"/>
        </w:rPr>
        <w:t>《广西壮族自治区人民医院失信供应商实行“黑名单”管理暂行办法》</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第四条</w:t>
      </w:r>
      <w:r>
        <w:rPr>
          <w:rFonts w:ascii="Calibri" w:eastAsia="仿宋" w:hAnsi="Calibri" w:cs="Calibri"/>
          <w:bCs/>
          <w:sz w:val="28"/>
          <w:szCs w:val="28"/>
        </w:rPr>
        <w:t> </w:t>
      </w:r>
      <w:r>
        <w:rPr>
          <w:rFonts w:ascii="仿宋" w:eastAsia="仿宋" w:hAnsi="仿宋"/>
          <w:bCs/>
          <w:sz w:val="28"/>
          <w:szCs w:val="28"/>
        </w:rPr>
        <w:t>供应商在参加医院自行采购活动中存在下列行为之一的，属于失信行为，列入失信供应商名单管理：</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1.提供虚假证明材料谋取中标、成交的；</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2.采取不正当手段诋毁、排挤其他供应商；</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3.由议价小组现场确认为恶意围标、串标的行为；</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4.向与医院自行采购活动相关人员行贿或者提供其他不正当利益；</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5.资格预审合格且成功报名的供应商在项目采购活动开始后相关信息发生变化时未及时通知院方；</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6.已响应参加医院自行采购活动，采购活动开始后擅自撤回响应文件，影响采购活动正常开展的；</w:t>
      </w:r>
    </w:p>
    <w:p w:rsidR="00EB3275" w:rsidRDefault="001441A8">
      <w:pPr>
        <w:ind w:firstLineChars="200" w:firstLine="560"/>
        <w:rPr>
          <w:rFonts w:ascii="仿宋" w:eastAsia="仿宋" w:hAnsi="仿宋"/>
          <w:bCs/>
          <w:sz w:val="28"/>
          <w:szCs w:val="28"/>
        </w:rPr>
      </w:pPr>
      <w:r>
        <w:rPr>
          <w:rFonts w:ascii="仿宋" w:eastAsia="仿宋" w:hAnsi="仿宋"/>
          <w:bCs/>
          <w:sz w:val="28"/>
          <w:szCs w:val="28"/>
        </w:rPr>
        <w:lastRenderedPageBreak/>
        <w:t>7.以不正当手段获得其他潜在供应商标书信息及需要保密的证明材料的；</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8.不遵守医院自行采购活动纪律，扰乱采购活动现场秩序且不听劝阻；</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9.以明显低于其他合格潜在供应商的报价且不能证明其报价合理性，经议价、比选小组认定为恶意竞争的；</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10.有行贿情形的；</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11.经医院认定的其他失信行为。</w:t>
      </w:r>
    </w:p>
    <w:p w:rsidR="00EB3275" w:rsidRDefault="001441A8">
      <w:pPr>
        <w:ind w:firstLineChars="200" w:firstLine="560"/>
        <w:rPr>
          <w:rFonts w:ascii="仿宋" w:eastAsia="仿宋" w:hAnsi="仿宋"/>
          <w:bCs/>
          <w:sz w:val="28"/>
          <w:szCs w:val="28"/>
        </w:rPr>
      </w:pPr>
      <w:r>
        <w:rPr>
          <w:rFonts w:ascii="仿宋" w:eastAsia="仿宋" w:hAnsi="仿宋"/>
          <w:bCs/>
          <w:sz w:val="28"/>
          <w:szCs w:val="28"/>
        </w:rPr>
        <w:t>第六条</w:t>
      </w:r>
      <w:r>
        <w:rPr>
          <w:rFonts w:ascii="Calibri" w:eastAsia="仿宋" w:hAnsi="Calibri" w:cs="Calibri"/>
          <w:bCs/>
          <w:sz w:val="28"/>
          <w:szCs w:val="28"/>
        </w:rPr>
        <w:t> </w:t>
      </w:r>
      <w:r>
        <w:rPr>
          <w:rFonts w:ascii="仿宋" w:eastAsia="仿宋" w:hAnsi="仿宋"/>
          <w:bCs/>
          <w:sz w:val="28"/>
          <w:szCs w:val="28"/>
        </w:rPr>
        <w:t>中标人被列入失信行为“黑名单”的，取消其中标资格，投标保证金不予退还，并处以三年内禁止参加医院所有自行采购活动。</w:t>
      </w:r>
      <w:r>
        <w:rPr>
          <w:rFonts w:ascii="仿宋" w:eastAsia="仿宋" w:hAnsi="仿宋" w:hint="eastAsia"/>
          <w:bCs/>
          <w:sz w:val="28"/>
          <w:szCs w:val="28"/>
        </w:rPr>
        <w:t>）</w:t>
      </w:r>
    </w:p>
    <w:p w:rsidR="00EB3275" w:rsidRDefault="001441A8">
      <w:pPr>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报名时间及报名电话</w:t>
      </w:r>
    </w:p>
    <w:p w:rsidR="00EB3275" w:rsidRPr="00BE09D4" w:rsidRDefault="001441A8">
      <w:pPr>
        <w:ind w:firstLineChars="200" w:firstLine="560"/>
        <w:rPr>
          <w:rFonts w:ascii="仿宋" w:eastAsia="仿宋" w:hAnsi="仿宋"/>
          <w:sz w:val="28"/>
          <w:szCs w:val="28"/>
        </w:rPr>
      </w:pPr>
      <w:r w:rsidRPr="00BE09D4">
        <w:rPr>
          <w:rFonts w:ascii="仿宋" w:eastAsia="仿宋" w:hAnsi="仿宋" w:hint="eastAsia"/>
          <w:sz w:val="28"/>
          <w:szCs w:val="28"/>
        </w:rPr>
        <w:t>报名时间：2</w:t>
      </w:r>
      <w:r w:rsidRPr="00BE09D4">
        <w:rPr>
          <w:rFonts w:ascii="仿宋" w:eastAsia="仿宋" w:hAnsi="仿宋"/>
          <w:sz w:val="28"/>
          <w:szCs w:val="28"/>
        </w:rPr>
        <w:t>023</w:t>
      </w:r>
      <w:r w:rsidRPr="00BE09D4">
        <w:rPr>
          <w:rFonts w:ascii="仿宋" w:eastAsia="仿宋" w:hAnsi="仿宋" w:hint="eastAsia"/>
          <w:sz w:val="28"/>
          <w:szCs w:val="28"/>
        </w:rPr>
        <w:t>年5月</w:t>
      </w:r>
      <w:r w:rsidR="00BE09D4" w:rsidRPr="00BE09D4">
        <w:rPr>
          <w:rFonts w:ascii="仿宋" w:eastAsia="仿宋" w:hAnsi="仿宋"/>
          <w:sz w:val="28"/>
          <w:szCs w:val="28"/>
        </w:rPr>
        <w:t>29</w:t>
      </w:r>
      <w:r w:rsidRPr="00BE09D4">
        <w:rPr>
          <w:rFonts w:ascii="仿宋" w:eastAsia="仿宋" w:hAnsi="仿宋" w:hint="eastAsia"/>
          <w:sz w:val="28"/>
          <w:szCs w:val="28"/>
        </w:rPr>
        <w:t>日-</w:t>
      </w:r>
      <w:r w:rsidRPr="00BE09D4">
        <w:rPr>
          <w:rFonts w:ascii="仿宋" w:eastAsia="仿宋" w:hAnsi="仿宋"/>
          <w:sz w:val="28"/>
          <w:szCs w:val="28"/>
        </w:rPr>
        <w:t>2023</w:t>
      </w:r>
      <w:r w:rsidRPr="00BE09D4">
        <w:rPr>
          <w:rFonts w:ascii="仿宋" w:eastAsia="仿宋" w:hAnsi="仿宋" w:hint="eastAsia"/>
          <w:sz w:val="28"/>
          <w:szCs w:val="28"/>
        </w:rPr>
        <w:t>年</w:t>
      </w:r>
      <w:bookmarkStart w:id="0" w:name="_GoBack"/>
      <w:bookmarkEnd w:id="0"/>
      <w:r w:rsidR="00BE09D4" w:rsidRPr="00BE09D4">
        <w:rPr>
          <w:rFonts w:ascii="仿宋" w:eastAsia="仿宋" w:hAnsi="仿宋"/>
          <w:sz w:val="28"/>
          <w:szCs w:val="28"/>
        </w:rPr>
        <w:t>6</w:t>
      </w:r>
      <w:r w:rsidRPr="00BE09D4">
        <w:rPr>
          <w:rFonts w:ascii="仿宋" w:eastAsia="仿宋" w:hAnsi="仿宋" w:hint="eastAsia"/>
          <w:sz w:val="28"/>
          <w:szCs w:val="28"/>
        </w:rPr>
        <w:t>月2日</w:t>
      </w:r>
    </w:p>
    <w:p w:rsidR="00EB3275" w:rsidRDefault="001441A8">
      <w:pPr>
        <w:ind w:firstLineChars="200" w:firstLine="560"/>
        <w:rPr>
          <w:rFonts w:ascii="仿宋" w:eastAsia="仿宋" w:hAnsi="仿宋"/>
          <w:sz w:val="28"/>
          <w:szCs w:val="28"/>
        </w:rPr>
      </w:pPr>
      <w:r>
        <w:rPr>
          <w:rFonts w:ascii="仿宋" w:eastAsia="仿宋" w:hAnsi="仿宋" w:hint="eastAsia"/>
          <w:sz w:val="28"/>
          <w:szCs w:val="28"/>
        </w:rPr>
        <w:t>报名电话：招标办 0771-5</w:t>
      </w:r>
      <w:r>
        <w:rPr>
          <w:rFonts w:ascii="仿宋" w:eastAsia="仿宋" w:hAnsi="仿宋"/>
          <w:sz w:val="28"/>
          <w:szCs w:val="28"/>
        </w:rPr>
        <w:t xml:space="preserve">722430 </w:t>
      </w:r>
      <w:r>
        <w:rPr>
          <w:rFonts w:ascii="仿宋" w:eastAsia="仿宋" w:hAnsi="仿宋" w:hint="eastAsia"/>
          <w:sz w:val="28"/>
          <w:szCs w:val="28"/>
        </w:rPr>
        <w:t>钟老师</w:t>
      </w:r>
    </w:p>
    <w:p w:rsidR="00EB3275" w:rsidRDefault="001441A8">
      <w:pPr>
        <w:rPr>
          <w:rFonts w:ascii="仿宋" w:eastAsia="仿宋" w:hAnsi="仿宋"/>
          <w:sz w:val="28"/>
          <w:szCs w:val="28"/>
        </w:rPr>
      </w:pPr>
      <w:r>
        <w:rPr>
          <w:rFonts w:ascii="黑体" w:eastAsia="黑体" w:hAnsi="黑体" w:hint="eastAsia"/>
          <w:sz w:val="32"/>
          <w:szCs w:val="32"/>
        </w:rPr>
        <w:t>三、设备技术参数</w:t>
      </w:r>
      <w:r>
        <w:rPr>
          <w:rFonts w:ascii="仿宋" w:eastAsia="仿宋" w:hAnsi="仿宋" w:hint="eastAsia"/>
          <w:sz w:val="28"/>
          <w:szCs w:val="28"/>
        </w:rPr>
        <w:t>（参数仅供参考，以科室实际需求为准）</w:t>
      </w:r>
    </w:p>
    <w:p w:rsidR="00EB3275" w:rsidRDefault="001441A8">
      <w:pPr>
        <w:jc w:val="center"/>
        <w:rPr>
          <w:rFonts w:ascii="仿宋" w:eastAsia="仿宋" w:hAnsi="仿宋" w:cs="仿宋"/>
          <w:b/>
          <w:bCs/>
          <w:sz w:val="28"/>
          <w:szCs w:val="28"/>
        </w:rPr>
      </w:pPr>
      <w:r>
        <w:rPr>
          <w:rFonts w:ascii="仿宋" w:eastAsia="仿宋" w:hAnsi="仿宋" w:cs="仿宋" w:hint="eastAsia"/>
          <w:b/>
          <w:bCs/>
          <w:sz w:val="28"/>
          <w:szCs w:val="28"/>
        </w:rPr>
        <w:t>人体成分分析仪参数</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一、技术参数</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1、适用于中国人群人体成分标准，具有国内临床实验基地的医疗机构出具的临床实验报告。</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2、建立和采用中国人体成分生物电阻抗测量数学模型</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3、★产品测量结果准确可信，应经过双能X线、核磁共振和</w:t>
      </w:r>
      <w:proofErr w:type="gramStart"/>
      <w:r>
        <w:rPr>
          <w:rFonts w:ascii="仿宋" w:eastAsia="仿宋" w:hAnsi="仿宋" w:cs="仿宋" w:hint="eastAsia"/>
          <w:sz w:val="28"/>
          <w:szCs w:val="28"/>
        </w:rPr>
        <w:t>双标水实验</w:t>
      </w:r>
      <w:proofErr w:type="gramEnd"/>
      <w:r>
        <w:rPr>
          <w:rFonts w:ascii="仿宋" w:eastAsia="仿宋" w:hAnsi="仿宋" w:cs="仿宋" w:hint="eastAsia"/>
          <w:sz w:val="28"/>
          <w:szCs w:val="28"/>
        </w:rPr>
        <w:t>共同校准。</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lastRenderedPageBreak/>
        <w:t>4、测试原理：直接节段多频率生物电阻抗测试法（DSM-BIA法）</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5、★测试频率：测试频率不低于三个，需包含 50KHZ ，250 KHZ ，500KHZ，最低不低于50KHz，最高不高于500KHz。</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6、测试部位：分别在5个节段部分(右上肢、左上肢、躯干、右下肢、左下肢)进行电阻抗测量。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7、电极方法：站站</w:t>
      </w:r>
      <w:proofErr w:type="gramStart"/>
      <w:r>
        <w:rPr>
          <w:rFonts w:ascii="仿宋" w:eastAsia="仿宋" w:hAnsi="仿宋" w:cs="仿宋" w:hint="eastAsia"/>
          <w:sz w:val="28"/>
          <w:szCs w:val="28"/>
        </w:rPr>
        <w:t>姿</w:t>
      </w:r>
      <w:proofErr w:type="gramEnd"/>
      <w:r>
        <w:rPr>
          <w:rFonts w:ascii="仿宋" w:eastAsia="仿宋" w:hAnsi="仿宋" w:cs="仿宋" w:hint="eastAsia"/>
          <w:sz w:val="28"/>
          <w:szCs w:val="28"/>
        </w:rPr>
        <w:t>进行测量，8点接触式电极，6通道测量，可同时进行全身测量。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8、基本指标：体重、去脂体重（FFM）、肌肉量、总水分（TBW）、蛋白质、骨质、脂肪、体脂百分比（PBF）、骨骼肌、体质指数（BMI）、腰臀比（WHR）、健康评分、身体年龄。</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9、体型判定：自动判定九种体型（隐形肥胖、肌肉不足、消瘦、脂肪过多、健康匀称、低脂肪、肥胖、超重肌肉、运动员）。</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10、身体节段分析：四肢及躯干肌肉、四肢及躯干脂肪。</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11、★内脏脂肪分析：躯干脂肪总量、内脏脂肪水平、脂肪肝风险系数。</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12、体重管理：标准体重、体重控制、脂肪控制量、肌肉控制量。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13、肥胖分析：肥胖等级、体脂百分比等级、腰臀比类型。</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14、营养评估：三大营养素水平、基础代谢率。</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15、测试软件：提供专用计算机控制人体成分仪软件，支持主控测试、数据监控、批量传输三种使用模式。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16、测量年龄范围：7-99岁。</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17、测量体重范围：10～200Kg。</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lastRenderedPageBreak/>
        <w:t>18、测量身高范围：50～200cm。</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19、评价参考标准：中国人体成分标准，。</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20、操作语言：中文。</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21、★操作系统：人体成分主机采用WINCE平台开发和运行</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22、电阻范围：100-1000Ω</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23、额定电流： 500uA</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24、输入电源：AC220V，50Hz</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25、显示屏： ≥3.5′320*640 TFT彩色触摸液晶屏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26、输入界面：人体成分单机操作</w:t>
      </w:r>
      <w:proofErr w:type="gramStart"/>
      <w:r>
        <w:rPr>
          <w:rFonts w:ascii="仿宋" w:eastAsia="仿宋" w:hAnsi="仿宋" w:cs="仿宋" w:hint="eastAsia"/>
          <w:sz w:val="28"/>
          <w:szCs w:val="28"/>
        </w:rPr>
        <w:t>采用全触控</w:t>
      </w:r>
      <w:proofErr w:type="gramEnd"/>
      <w:r>
        <w:rPr>
          <w:rFonts w:ascii="仿宋" w:eastAsia="仿宋" w:hAnsi="仿宋" w:cs="仿宋" w:hint="eastAsia"/>
          <w:sz w:val="28"/>
          <w:szCs w:val="28"/>
        </w:rPr>
        <w:t>方式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 xml:space="preserve">27、外部接口： RS-232C（9针）串口，USB </w:t>
      </w:r>
      <w:proofErr w:type="spellStart"/>
      <w:r>
        <w:rPr>
          <w:rFonts w:ascii="仿宋" w:eastAsia="仿宋" w:hAnsi="仿宋" w:cs="仿宋" w:hint="eastAsia"/>
          <w:sz w:val="28"/>
          <w:szCs w:val="28"/>
        </w:rPr>
        <w:t>typeA</w:t>
      </w:r>
      <w:proofErr w:type="spellEnd"/>
      <w:r>
        <w:rPr>
          <w:rFonts w:ascii="仿宋" w:eastAsia="仿宋" w:hAnsi="仿宋" w:cs="仿宋" w:hint="eastAsia"/>
          <w:sz w:val="28"/>
          <w:szCs w:val="28"/>
        </w:rPr>
        <w:t>/typeB,RJ45(10/100Base-T)以太网口</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 xml:space="preserve">28、兼容打印机：可直接连接指定型号打印机   </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29、测试时间： &lt;30秒</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30、操作环境：温度：10-40℃（50～104℉），湿度：30～80％RH</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31、保存环境：温度：0-40℃（32～104℉），湿度：30～80％RH</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32、品牌和生产基地：国内知名品牌，同时在中国大陆境内生产</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二、配置要求</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1.人体成分主机   1台</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 xml:space="preserve">2.左右手电极各一支   2支 </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3.前后底座地脚   4个</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4.电源线   1条</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5.串口数据线   1条</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lastRenderedPageBreak/>
        <w:t>6.串口转USB转换器 1个</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7.打印报告纸   40张</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8.产品合格证   1张</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9.保修卡   1张</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10.数据分析工作站联机软件（主控操作，数据采集整理统计评估）   1套</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11.内置WINDOWS CE 1套</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12.使用手册   1本</w:t>
      </w:r>
    </w:p>
    <w:p w:rsidR="00EB3275" w:rsidRDefault="001441A8">
      <w:pPr>
        <w:ind w:left="281" w:hangingChars="100" w:hanging="281"/>
        <w:jc w:val="center"/>
        <w:rPr>
          <w:rFonts w:ascii="仿宋" w:eastAsia="仿宋" w:hAnsi="仿宋" w:cs="仿宋"/>
          <w:b/>
          <w:bCs/>
          <w:sz w:val="28"/>
          <w:szCs w:val="28"/>
        </w:rPr>
      </w:pPr>
      <w:r>
        <w:rPr>
          <w:rFonts w:ascii="仿宋" w:eastAsia="仿宋" w:hAnsi="仿宋" w:cs="仿宋" w:hint="eastAsia"/>
          <w:b/>
          <w:bCs/>
          <w:sz w:val="28"/>
          <w:szCs w:val="28"/>
        </w:rPr>
        <w:t>六分钟步行试验系统参数</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1、多参数采集：心电，血压，血氧，心率，脉搏、运动步数、圈数及距离采集；</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2、具备多参数记录功能：具有心脏康复运动分析功能，6分钟步行试验分析功能，动态心率采集，动态血氧采集，可扩展心率变性分析功能，检测数据永久保存，报告自动生成及打印。</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3、远程管理和实时监护功能：可以通过显示屏幕远程实时查看患者的心电图、血氧、心率等情况；6分钟自动计时及全程语音干预；</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4、功能模块：患者列表、添加患者、历史报告、报警参数设置等；</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5、血氧报警设置范围：60%～99%范围内可设置；</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6、心率报警设置范围：50bpm～150bpm 范围内可设置；</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7、动态心电图分析系统具有动态心电采集和回放，患者信息记录下载、数据上传归档功能；有初期设定、获取待检查病人列表、患</w:t>
      </w:r>
      <w:r>
        <w:rPr>
          <w:rFonts w:ascii="仿宋" w:eastAsia="仿宋" w:hAnsi="仿宋" w:cs="仿宋" w:hint="eastAsia"/>
          <w:sz w:val="28"/>
          <w:szCs w:val="28"/>
        </w:rPr>
        <w:lastRenderedPageBreak/>
        <w:t>者信息新建与修改功能；</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8、采用无线WIFI通讯，实现数据传输至各省、直辖市尘肺病康复站管理信息平台，并成功对接；</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9、能够实时无线传输心电波形数据，可通过手机、平板电脑等设备实时查看波形；</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10、对心电图中的异常，可进行自动智能分析，并将分析结果体现在报告单上，便于医生查看。</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11、采用SD存储卡或TF</w:t>
      </w:r>
      <w:proofErr w:type="gramStart"/>
      <w:r>
        <w:rPr>
          <w:rFonts w:ascii="仿宋" w:eastAsia="仿宋" w:hAnsi="仿宋" w:cs="仿宋" w:hint="eastAsia"/>
          <w:sz w:val="28"/>
          <w:szCs w:val="28"/>
        </w:rPr>
        <w:t>卡数据</w:t>
      </w:r>
      <w:proofErr w:type="gramEnd"/>
      <w:r>
        <w:rPr>
          <w:rFonts w:ascii="仿宋" w:eastAsia="仿宋" w:hAnsi="仿宋" w:cs="仿宋" w:hint="eastAsia"/>
          <w:sz w:val="28"/>
          <w:szCs w:val="28"/>
        </w:rPr>
        <w:t>存储，通过数据接口可以按U盘方式快速读取心电数据回放；</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12、能够回放患者的基本信息，全程记录六分钟步行试验阶段的心电图波形，全程记录六分钟步行试验阶段的心率趋势图；</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13、显示内容包括：心电波、血压值、血氧值、心率值、脉率值、行走距离/步数，症状等；</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14、支持</w:t>
      </w:r>
      <w:proofErr w:type="gramStart"/>
      <w:r>
        <w:rPr>
          <w:rFonts w:ascii="仿宋" w:eastAsia="仿宋" w:hAnsi="仿宋" w:cs="仿宋" w:hint="eastAsia"/>
          <w:sz w:val="28"/>
          <w:szCs w:val="28"/>
        </w:rPr>
        <w:t>无线蓝牙通信</w:t>
      </w:r>
      <w:proofErr w:type="gramEnd"/>
      <w:r>
        <w:rPr>
          <w:rFonts w:ascii="仿宋" w:eastAsia="仿宋" w:hAnsi="仿宋" w:cs="仿宋" w:hint="eastAsia"/>
          <w:sz w:val="28"/>
          <w:szCs w:val="28"/>
        </w:rPr>
        <w:t>模式：所有移动设备监护参数</w:t>
      </w:r>
      <w:proofErr w:type="gramStart"/>
      <w:r>
        <w:rPr>
          <w:rFonts w:ascii="仿宋" w:eastAsia="仿宋" w:hAnsi="仿宋" w:cs="仿宋" w:hint="eastAsia"/>
          <w:sz w:val="28"/>
          <w:szCs w:val="28"/>
        </w:rPr>
        <w:t>支持蓝牙无线</w:t>
      </w:r>
      <w:proofErr w:type="gramEnd"/>
      <w:r>
        <w:rPr>
          <w:rFonts w:ascii="仿宋" w:eastAsia="仿宋" w:hAnsi="仿宋" w:cs="仿宋" w:hint="eastAsia"/>
          <w:sz w:val="28"/>
          <w:szCs w:val="28"/>
        </w:rPr>
        <w:t>传输，具有良好的抗干扰能力，无遮拦通讯距离≥15米；</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▲15、具备数据同步至康复管理医生平台功能，完善的肺康复临床路径，患者信息导入导出、上下级转诊、系统评估、处方开具、院外管理，远程监护，实时随访，实现院内院外</w:t>
      </w:r>
      <w:proofErr w:type="gramStart"/>
      <w:r>
        <w:rPr>
          <w:rFonts w:ascii="仿宋" w:eastAsia="仿宋" w:hAnsi="仿宋" w:cs="仿宋" w:hint="eastAsia"/>
          <w:sz w:val="28"/>
          <w:szCs w:val="28"/>
        </w:rPr>
        <w:t>康复全</w:t>
      </w:r>
      <w:proofErr w:type="gramEnd"/>
      <w:r>
        <w:rPr>
          <w:rFonts w:ascii="仿宋" w:eastAsia="仿宋" w:hAnsi="仿宋" w:cs="仿宋" w:hint="eastAsia"/>
          <w:sz w:val="28"/>
          <w:szCs w:val="28"/>
        </w:rPr>
        <w:t>流程管理。院外患者居家或进行康复运动，医生可以远程监护患者情况，Borg量表疲劳度及呼吸等级评定等；</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16、系统配备动态心电图分析系统：</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▲16.1 支持十二导(8通道)及3通道心电数据采集和存储；</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lastRenderedPageBreak/>
        <w:t>16.2 动态心电图记录器显示屏显示操作界面，实时预览心电图波形</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16.3 具有将波形数据以</w:t>
      </w:r>
      <w:proofErr w:type="gramStart"/>
      <w:r>
        <w:rPr>
          <w:rFonts w:ascii="仿宋" w:eastAsia="仿宋" w:hAnsi="仿宋" w:cs="仿宋" w:hint="eastAsia"/>
          <w:sz w:val="28"/>
          <w:szCs w:val="28"/>
        </w:rPr>
        <w:t>蓝牙方式</w:t>
      </w:r>
      <w:proofErr w:type="gramEnd"/>
      <w:r>
        <w:rPr>
          <w:rFonts w:ascii="仿宋" w:eastAsia="仿宋" w:hAnsi="仿宋" w:cs="仿宋" w:hint="eastAsia"/>
          <w:sz w:val="28"/>
          <w:szCs w:val="28"/>
        </w:rPr>
        <w:t>实时传输到外部终端的功能</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16.4 约24位采样精度；</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16.5 输入阻抗：≥50MΩ(提供动态心电图记录器说明书原件或医疗器械注册证技术要求复印件)；</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16.6 频率响应：0.05Hz～100Hz；</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16.7 支持起搏脉冲显示；</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16.8 支持导联纠错功能；</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16.9 支持心率变异性分析；</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16.10 支持房颤默认自动分析、通过</w:t>
      </w:r>
      <w:proofErr w:type="gramStart"/>
      <w:r>
        <w:rPr>
          <w:rFonts w:ascii="仿宋" w:eastAsia="仿宋" w:hAnsi="仿宋" w:cs="仿宋" w:hint="eastAsia"/>
          <w:sz w:val="28"/>
          <w:szCs w:val="28"/>
        </w:rPr>
        <w:t>独立房</w:t>
      </w:r>
      <w:proofErr w:type="gramEnd"/>
      <w:r>
        <w:rPr>
          <w:rFonts w:ascii="仿宋" w:eastAsia="仿宋" w:hAnsi="仿宋" w:cs="仿宋" w:hint="eastAsia"/>
          <w:sz w:val="28"/>
          <w:szCs w:val="28"/>
        </w:rPr>
        <w:t>颤模块快速批量编辑阵发性房颤；</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16.11 散点图：支持通过散点图的不同形态区分逆向查找异常心博；支持散点图选取批量心搏反混淆；</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16.12 组合散点图，通过每个心搏的特征选择相应的心搏参数(心搏可选提前量、R波和S波幅度、间期、代偿间期、QRS面积、宽度等方式作为X、Y轴坐标)，形成不同的吸引子，快速区分形态不一样的心搏；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16.13 起搏器分析功能：通过硬件检测起搏脉冲信号，</w:t>
      </w:r>
      <w:proofErr w:type="gramStart"/>
      <w:r>
        <w:rPr>
          <w:rFonts w:ascii="仿宋" w:eastAsia="仿宋" w:hAnsi="仿宋" w:cs="仿宋" w:hint="eastAsia"/>
          <w:sz w:val="28"/>
          <w:szCs w:val="28"/>
        </w:rPr>
        <w:t>无需勾选起搏器</w:t>
      </w:r>
      <w:proofErr w:type="gramEnd"/>
      <w:r>
        <w:rPr>
          <w:rFonts w:ascii="仿宋" w:eastAsia="仿宋" w:hAnsi="仿宋" w:cs="仿宋" w:hint="eastAsia"/>
          <w:sz w:val="28"/>
          <w:szCs w:val="28"/>
        </w:rPr>
        <w:t>型号，具备全导联起搏检测；</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16.14 直方图：支持心率、RR间期、RR间期比直方图；支持对数查看模式。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16.15 系统配置移动显示终端。</w:t>
      </w:r>
    </w:p>
    <w:p w:rsidR="00EB3275" w:rsidRDefault="001441A8">
      <w:pPr>
        <w:ind w:left="280" w:hangingChars="100" w:hanging="280"/>
        <w:jc w:val="left"/>
        <w:rPr>
          <w:rFonts w:ascii="仿宋" w:eastAsia="仿宋" w:hAnsi="仿宋" w:cs="仿宋"/>
          <w:bCs/>
          <w:sz w:val="28"/>
          <w:szCs w:val="28"/>
        </w:rPr>
      </w:pPr>
      <w:r>
        <w:rPr>
          <w:rFonts w:ascii="仿宋" w:eastAsia="仿宋" w:hAnsi="仿宋" w:cs="仿宋" w:hint="eastAsia"/>
          <w:sz w:val="28"/>
          <w:szCs w:val="28"/>
        </w:rPr>
        <w:lastRenderedPageBreak/>
        <w:t>配置清单：</w:t>
      </w:r>
    </w:p>
    <w:tbl>
      <w:tblPr>
        <w:tblpPr w:leftFromText="180" w:rightFromText="180" w:vertAnchor="text" w:horzAnchor="page" w:tblpX="1823" w:tblpY="31"/>
        <w:tblOverlap w:val="never"/>
        <w:tblW w:w="8978" w:type="dxa"/>
        <w:tblLayout w:type="fixed"/>
        <w:tblCellMar>
          <w:left w:w="0" w:type="dxa"/>
          <w:right w:w="0" w:type="dxa"/>
        </w:tblCellMar>
        <w:tblLook w:val="04A0" w:firstRow="1" w:lastRow="0" w:firstColumn="1" w:lastColumn="0" w:noHBand="0" w:noVBand="1"/>
      </w:tblPr>
      <w:tblGrid>
        <w:gridCol w:w="1014"/>
        <w:gridCol w:w="3454"/>
        <w:gridCol w:w="1051"/>
        <w:gridCol w:w="1109"/>
        <w:gridCol w:w="2350"/>
      </w:tblGrid>
      <w:tr w:rsidR="00EB3275">
        <w:trPr>
          <w:trHeight w:val="440"/>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序号</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名称</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r>
              <w:rPr>
                <w:rFonts w:ascii="仿宋" w:eastAsia="仿宋" w:hAnsi="仿宋" w:cs="仿宋" w:hint="eastAsia"/>
                <w:bCs/>
                <w:sz w:val="28"/>
                <w:szCs w:val="28"/>
              </w:rPr>
              <w:t>单位</w:t>
            </w:r>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239"/>
              <w:jc w:val="center"/>
              <w:rPr>
                <w:rFonts w:ascii="仿宋" w:eastAsia="仿宋" w:hAnsi="仿宋" w:cs="仿宋"/>
                <w:bCs/>
                <w:w w:val="99"/>
                <w:sz w:val="28"/>
                <w:szCs w:val="28"/>
              </w:rPr>
            </w:pPr>
            <w:r>
              <w:rPr>
                <w:rFonts w:ascii="仿宋" w:eastAsia="仿宋" w:hAnsi="仿宋" w:cs="仿宋" w:hint="eastAsia"/>
                <w:bCs/>
                <w:w w:val="99"/>
                <w:sz w:val="28"/>
                <w:szCs w:val="28"/>
              </w:rPr>
              <w:t>数量</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备注</w:t>
            </w:r>
          </w:p>
        </w:tc>
      </w:tr>
      <w:tr w:rsidR="00EB3275">
        <w:trPr>
          <w:trHeight w:val="382"/>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六分钟步行试验系统</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r>
              <w:rPr>
                <w:rFonts w:ascii="仿宋" w:eastAsia="仿宋" w:hAnsi="仿宋" w:cs="仿宋" w:hint="eastAsia"/>
                <w:bCs/>
                <w:sz w:val="28"/>
                <w:szCs w:val="28"/>
              </w:rPr>
              <w:t>套</w:t>
            </w:r>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99"/>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安装于平板电脑内</w:t>
            </w:r>
          </w:p>
        </w:tc>
      </w:tr>
      <w:tr w:rsidR="00EB3275">
        <w:trPr>
          <w:trHeight w:val="478"/>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2</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动态心电图分析系统</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r>
              <w:rPr>
                <w:rFonts w:ascii="仿宋" w:eastAsia="仿宋" w:hAnsi="仿宋" w:cs="仿宋" w:hint="eastAsia"/>
                <w:bCs/>
                <w:sz w:val="28"/>
                <w:szCs w:val="28"/>
              </w:rPr>
              <w:t>台</w:t>
            </w:r>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99"/>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EB3275">
            <w:pPr>
              <w:spacing w:line="0" w:lineRule="atLeast"/>
              <w:rPr>
                <w:rFonts w:ascii="仿宋" w:eastAsia="仿宋" w:hAnsi="仿宋" w:cs="仿宋"/>
                <w:bCs/>
                <w:sz w:val="28"/>
                <w:szCs w:val="28"/>
              </w:rPr>
            </w:pPr>
          </w:p>
        </w:tc>
      </w:tr>
      <w:tr w:rsidR="00EB3275">
        <w:trPr>
          <w:trHeight w:val="396"/>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3</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血氧仪</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r>
              <w:rPr>
                <w:rFonts w:ascii="仿宋" w:eastAsia="仿宋" w:hAnsi="仿宋" w:cs="仿宋" w:hint="eastAsia"/>
                <w:bCs/>
                <w:sz w:val="28"/>
                <w:szCs w:val="28"/>
              </w:rPr>
              <w:t>台</w:t>
            </w:r>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99"/>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EB3275">
            <w:pPr>
              <w:spacing w:line="0" w:lineRule="atLeast"/>
              <w:rPr>
                <w:rFonts w:ascii="仿宋" w:eastAsia="仿宋" w:hAnsi="仿宋" w:cs="仿宋"/>
                <w:bCs/>
                <w:sz w:val="28"/>
                <w:szCs w:val="28"/>
              </w:rPr>
            </w:pPr>
          </w:p>
        </w:tc>
      </w:tr>
      <w:tr w:rsidR="00EB3275">
        <w:trPr>
          <w:trHeight w:val="414"/>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4</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一次性使用心电电极</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r>
              <w:rPr>
                <w:rFonts w:ascii="仿宋" w:eastAsia="仿宋" w:hAnsi="仿宋" w:cs="仿宋" w:hint="eastAsia"/>
                <w:bCs/>
                <w:sz w:val="28"/>
                <w:szCs w:val="28"/>
              </w:rPr>
              <w:t>包</w:t>
            </w:r>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99"/>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EB3275">
            <w:pPr>
              <w:spacing w:line="0" w:lineRule="atLeast"/>
              <w:rPr>
                <w:rFonts w:ascii="仿宋" w:eastAsia="仿宋" w:hAnsi="仿宋" w:cs="仿宋"/>
                <w:bCs/>
                <w:sz w:val="28"/>
                <w:szCs w:val="28"/>
              </w:rPr>
            </w:pPr>
          </w:p>
        </w:tc>
      </w:tr>
      <w:tr w:rsidR="00EB3275">
        <w:trPr>
          <w:trHeight w:val="371"/>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5</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脉搏波血压计</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r>
              <w:rPr>
                <w:rFonts w:ascii="仿宋" w:eastAsia="仿宋" w:hAnsi="仿宋" w:cs="仿宋" w:hint="eastAsia"/>
                <w:bCs/>
                <w:sz w:val="28"/>
                <w:szCs w:val="28"/>
              </w:rPr>
              <w:t>台</w:t>
            </w:r>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99"/>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EB3275">
            <w:pPr>
              <w:spacing w:line="0" w:lineRule="atLeast"/>
              <w:rPr>
                <w:rFonts w:ascii="仿宋" w:eastAsia="仿宋" w:hAnsi="仿宋" w:cs="仿宋"/>
                <w:bCs/>
                <w:sz w:val="28"/>
                <w:szCs w:val="28"/>
              </w:rPr>
            </w:pPr>
          </w:p>
        </w:tc>
      </w:tr>
      <w:tr w:rsidR="00EB3275">
        <w:trPr>
          <w:trHeight w:val="414"/>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6</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平板电脑</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r>
              <w:rPr>
                <w:rFonts w:ascii="仿宋" w:eastAsia="仿宋" w:hAnsi="仿宋" w:cs="仿宋" w:hint="eastAsia"/>
                <w:bCs/>
                <w:sz w:val="28"/>
                <w:szCs w:val="28"/>
              </w:rPr>
              <w:t>台</w:t>
            </w:r>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99"/>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EB3275">
            <w:pPr>
              <w:spacing w:line="0" w:lineRule="atLeast"/>
              <w:rPr>
                <w:rFonts w:ascii="仿宋" w:eastAsia="仿宋" w:hAnsi="仿宋" w:cs="仿宋"/>
                <w:bCs/>
                <w:sz w:val="28"/>
                <w:szCs w:val="28"/>
              </w:rPr>
            </w:pPr>
          </w:p>
        </w:tc>
      </w:tr>
      <w:tr w:rsidR="00EB3275">
        <w:trPr>
          <w:trHeight w:val="428"/>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7</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背包</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proofErr w:type="gramStart"/>
            <w:r>
              <w:rPr>
                <w:rFonts w:ascii="仿宋" w:eastAsia="仿宋" w:hAnsi="仿宋" w:cs="仿宋" w:hint="eastAsia"/>
                <w:bCs/>
                <w:sz w:val="28"/>
                <w:szCs w:val="28"/>
              </w:rPr>
              <w:t>个</w:t>
            </w:r>
            <w:proofErr w:type="gramEnd"/>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99"/>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EB3275">
            <w:pPr>
              <w:spacing w:line="0" w:lineRule="atLeast"/>
              <w:rPr>
                <w:rFonts w:ascii="仿宋" w:eastAsia="仿宋" w:hAnsi="仿宋" w:cs="仿宋"/>
                <w:bCs/>
                <w:sz w:val="28"/>
                <w:szCs w:val="28"/>
              </w:rPr>
            </w:pPr>
          </w:p>
        </w:tc>
      </w:tr>
      <w:tr w:rsidR="00EB3275">
        <w:trPr>
          <w:trHeight w:val="384"/>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8</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地板贴</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r>
              <w:rPr>
                <w:rFonts w:ascii="仿宋" w:eastAsia="仿宋" w:hAnsi="仿宋" w:cs="仿宋" w:hint="eastAsia"/>
                <w:bCs/>
                <w:sz w:val="28"/>
                <w:szCs w:val="28"/>
              </w:rPr>
              <w:t>套</w:t>
            </w:r>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99"/>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EB3275">
            <w:pPr>
              <w:spacing w:line="0" w:lineRule="atLeast"/>
              <w:rPr>
                <w:rFonts w:ascii="仿宋" w:eastAsia="仿宋" w:hAnsi="仿宋" w:cs="仿宋"/>
                <w:bCs/>
                <w:sz w:val="28"/>
                <w:szCs w:val="28"/>
              </w:rPr>
            </w:pPr>
          </w:p>
        </w:tc>
      </w:tr>
      <w:tr w:rsidR="00EB3275">
        <w:trPr>
          <w:trHeight w:val="491"/>
        </w:trPr>
        <w:tc>
          <w:tcPr>
            <w:tcW w:w="101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w w:val="99"/>
                <w:sz w:val="28"/>
                <w:szCs w:val="28"/>
              </w:rPr>
            </w:pPr>
            <w:r>
              <w:rPr>
                <w:rFonts w:ascii="仿宋" w:eastAsia="仿宋" w:hAnsi="仿宋" w:cs="仿宋" w:hint="eastAsia"/>
                <w:bCs/>
                <w:w w:val="99"/>
                <w:sz w:val="28"/>
                <w:szCs w:val="28"/>
              </w:rPr>
              <w:t>9</w:t>
            </w:r>
          </w:p>
        </w:tc>
        <w:tc>
          <w:tcPr>
            <w:tcW w:w="3454"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jc w:val="center"/>
              <w:rPr>
                <w:rFonts w:ascii="仿宋" w:eastAsia="仿宋" w:hAnsi="仿宋" w:cs="仿宋"/>
                <w:bCs/>
                <w:sz w:val="28"/>
                <w:szCs w:val="28"/>
              </w:rPr>
            </w:pPr>
            <w:r>
              <w:rPr>
                <w:rFonts w:ascii="仿宋" w:eastAsia="仿宋" w:hAnsi="仿宋" w:cs="仿宋" w:hint="eastAsia"/>
                <w:bCs/>
                <w:sz w:val="28"/>
                <w:szCs w:val="28"/>
              </w:rPr>
              <w:t>用户手册</w:t>
            </w:r>
          </w:p>
        </w:tc>
        <w:tc>
          <w:tcPr>
            <w:tcW w:w="1051"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320"/>
              <w:jc w:val="center"/>
              <w:rPr>
                <w:rFonts w:ascii="仿宋" w:eastAsia="仿宋" w:hAnsi="仿宋" w:cs="仿宋"/>
                <w:bCs/>
                <w:sz w:val="28"/>
                <w:szCs w:val="28"/>
              </w:rPr>
            </w:pPr>
            <w:r>
              <w:rPr>
                <w:rFonts w:ascii="仿宋" w:eastAsia="仿宋" w:hAnsi="仿宋" w:cs="仿宋" w:hint="eastAsia"/>
                <w:bCs/>
                <w:sz w:val="28"/>
                <w:szCs w:val="28"/>
              </w:rPr>
              <w:t>本</w:t>
            </w:r>
          </w:p>
        </w:tc>
        <w:tc>
          <w:tcPr>
            <w:tcW w:w="1109" w:type="dxa"/>
            <w:tcBorders>
              <w:top w:val="single" w:sz="4" w:space="0" w:color="auto"/>
              <w:left w:val="single" w:sz="4" w:space="0" w:color="auto"/>
              <w:bottom w:val="single" w:sz="4" w:space="0" w:color="auto"/>
              <w:right w:val="single" w:sz="4" w:space="0" w:color="auto"/>
            </w:tcBorders>
            <w:vAlign w:val="bottom"/>
          </w:tcPr>
          <w:p w:rsidR="00EB3275" w:rsidRDefault="001441A8">
            <w:pPr>
              <w:spacing w:line="0" w:lineRule="atLeast"/>
              <w:ind w:right="99"/>
              <w:jc w:val="center"/>
              <w:rPr>
                <w:rFonts w:ascii="仿宋" w:eastAsia="仿宋" w:hAnsi="仿宋" w:cs="仿宋"/>
                <w:bCs/>
                <w:w w:val="99"/>
                <w:sz w:val="28"/>
                <w:szCs w:val="28"/>
              </w:rPr>
            </w:pPr>
            <w:r>
              <w:rPr>
                <w:rFonts w:ascii="仿宋" w:eastAsia="仿宋" w:hAnsi="仿宋" w:cs="仿宋" w:hint="eastAsia"/>
                <w:bCs/>
                <w:w w:val="99"/>
                <w:sz w:val="28"/>
                <w:szCs w:val="28"/>
              </w:rPr>
              <w:t>1</w:t>
            </w:r>
          </w:p>
        </w:tc>
        <w:tc>
          <w:tcPr>
            <w:tcW w:w="2350" w:type="dxa"/>
            <w:tcBorders>
              <w:top w:val="single" w:sz="4" w:space="0" w:color="auto"/>
              <w:left w:val="single" w:sz="4" w:space="0" w:color="auto"/>
              <w:bottom w:val="single" w:sz="4" w:space="0" w:color="auto"/>
              <w:right w:val="single" w:sz="4" w:space="0" w:color="auto"/>
            </w:tcBorders>
            <w:vAlign w:val="bottom"/>
          </w:tcPr>
          <w:p w:rsidR="00EB3275" w:rsidRDefault="00EB3275">
            <w:pPr>
              <w:spacing w:line="0" w:lineRule="atLeast"/>
              <w:rPr>
                <w:rFonts w:ascii="仿宋" w:eastAsia="仿宋" w:hAnsi="仿宋" w:cs="仿宋"/>
                <w:bCs/>
                <w:sz w:val="28"/>
                <w:szCs w:val="28"/>
              </w:rPr>
            </w:pPr>
          </w:p>
        </w:tc>
      </w:tr>
    </w:tbl>
    <w:p w:rsidR="00EB3275" w:rsidRDefault="001441A8">
      <w:pPr>
        <w:spacing w:after="240" w:line="440" w:lineRule="exact"/>
        <w:jc w:val="center"/>
        <w:rPr>
          <w:rFonts w:ascii="仿宋" w:eastAsia="仿宋" w:hAnsi="仿宋" w:cs="仿宋"/>
          <w:b/>
          <w:sz w:val="28"/>
          <w:szCs w:val="28"/>
        </w:rPr>
      </w:pPr>
      <w:r>
        <w:rPr>
          <w:rFonts w:ascii="仿宋" w:eastAsia="仿宋" w:hAnsi="仿宋" w:cs="仿宋" w:hint="eastAsia"/>
          <w:b/>
          <w:sz w:val="28"/>
          <w:szCs w:val="28"/>
        </w:rPr>
        <w:t>平衡功能评估及训练系统技术参数</w:t>
      </w:r>
    </w:p>
    <w:p w:rsidR="00EB3275" w:rsidRDefault="001441A8">
      <w:pPr>
        <w:pStyle w:val="a4"/>
        <w:numPr>
          <w:ilvl w:val="0"/>
          <w:numId w:val="1"/>
        </w:numPr>
        <w:spacing w:line="440" w:lineRule="exact"/>
        <w:ind w:left="0" w:firstLineChars="0" w:firstLine="0"/>
        <w:rPr>
          <w:rFonts w:ascii="仿宋" w:eastAsia="仿宋" w:hAnsi="仿宋" w:cs="仿宋"/>
          <w:sz w:val="28"/>
          <w:szCs w:val="28"/>
        </w:rPr>
      </w:pPr>
      <w:r>
        <w:rPr>
          <w:rFonts w:ascii="仿宋" w:eastAsia="仿宋" w:hAnsi="仿宋" w:cs="仿宋" w:hint="eastAsia"/>
          <w:b/>
          <w:sz w:val="28"/>
          <w:szCs w:val="28"/>
        </w:rPr>
        <w:t>适应范围：</w:t>
      </w:r>
      <w:r>
        <w:rPr>
          <w:rFonts w:ascii="仿宋" w:eastAsia="仿宋" w:hAnsi="仿宋" w:cs="仿宋" w:hint="eastAsia"/>
          <w:sz w:val="28"/>
          <w:szCs w:val="28"/>
        </w:rPr>
        <w:t>主要用于对患者平衡能力进行评估和训练。</w:t>
      </w:r>
    </w:p>
    <w:p w:rsidR="00EB3275" w:rsidRDefault="001441A8">
      <w:pPr>
        <w:pStyle w:val="a4"/>
        <w:numPr>
          <w:ilvl w:val="0"/>
          <w:numId w:val="1"/>
        </w:numPr>
        <w:spacing w:line="440" w:lineRule="exact"/>
        <w:ind w:left="2" w:firstLineChars="0" w:firstLine="0"/>
        <w:rPr>
          <w:rFonts w:ascii="仿宋" w:eastAsia="仿宋" w:hAnsi="仿宋" w:cs="仿宋"/>
          <w:b/>
          <w:sz w:val="28"/>
          <w:szCs w:val="28"/>
        </w:rPr>
      </w:pPr>
      <w:r>
        <w:rPr>
          <w:rFonts w:ascii="仿宋" w:eastAsia="仿宋" w:hAnsi="仿宋" w:cs="仿宋" w:hint="eastAsia"/>
          <w:b/>
          <w:sz w:val="28"/>
          <w:szCs w:val="28"/>
        </w:rPr>
        <w:t>性能参数：</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本产品主要由软件、传感器及训练架组成。</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本产品</w:t>
      </w:r>
      <w:proofErr w:type="gramStart"/>
      <w:r>
        <w:rPr>
          <w:rFonts w:ascii="仿宋" w:eastAsia="仿宋" w:hAnsi="仿宋" w:cs="仿宋" w:hint="eastAsia"/>
          <w:sz w:val="28"/>
          <w:szCs w:val="28"/>
        </w:rPr>
        <w:t>具备蓝牙连接</w:t>
      </w:r>
      <w:proofErr w:type="gramEnd"/>
      <w:r>
        <w:rPr>
          <w:rFonts w:ascii="仿宋" w:eastAsia="仿宋" w:hAnsi="仿宋" w:cs="仿宋" w:hint="eastAsia"/>
          <w:sz w:val="28"/>
          <w:szCs w:val="28"/>
        </w:rPr>
        <w:t>功能。</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本产品可配备超大尺寸一体机，游戏训练体验更佳。</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软件具备评估、游戏训练、病例管理、打印等功能。</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软件可对患者的平衡能力进行评估，并根据评估结果推荐适宜的平衡训练角度，制定合适的训练计划。</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软件中有多种游戏类型可选，每种游戏类型可根据患者的平衡能力选择适当的难度。</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软件可创建病人信息、进行训练设置、保存及查看训练记录。</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※训练</w:t>
      </w:r>
      <w:proofErr w:type="gramStart"/>
      <w:r>
        <w:rPr>
          <w:rFonts w:ascii="仿宋" w:eastAsia="仿宋" w:hAnsi="仿宋" w:cs="仿宋" w:hint="eastAsia"/>
          <w:sz w:val="28"/>
          <w:szCs w:val="28"/>
        </w:rPr>
        <w:t>架采用</w:t>
      </w:r>
      <w:proofErr w:type="gramEnd"/>
      <w:r>
        <w:rPr>
          <w:rFonts w:ascii="仿宋" w:eastAsia="仿宋" w:hAnsi="仿宋" w:cs="仿宋" w:hint="eastAsia"/>
          <w:sz w:val="28"/>
          <w:szCs w:val="28"/>
        </w:rPr>
        <w:t>双轴设计，符合人体工程学设计，安全稳定。</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训练架在竖直方向摆动角度分为3档可调，分别约是0°、5°、10°，实现静态与动态平衡训练。</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※训练架的摆动阻力分5档可调，实现动态平衡进阶训练，满足不同阶段的患者的治疗需求。</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训练架垂直方向高度可调，调节范围为0~300mm，误差为±10%。</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lastRenderedPageBreak/>
        <w:t>训练架的高度调节方式为气弹簧调节，调节方便省力。</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训练架的承载能力：脚踏</w:t>
      </w:r>
      <w:proofErr w:type="gramStart"/>
      <w:r>
        <w:rPr>
          <w:rFonts w:ascii="仿宋" w:eastAsia="仿宋" w:hAnsi="仿宋" w:cs="仿宋" w:hint="eastAsia"/>
          <w:sz w:val="28"/>
          <w:szCs w:val="28"/>
        </w:rPr>
        <w:t>板最大</w:t>
      </w:r>
      <w:proofErr w:type="gramEnd"/>
      <w:r>
        <w:rPr>
          <w:rFonts w:ascii="仿宋" w:eastAsia="仿宋" w:hAnsi="仿宋" w:cs="仿宋" w:hint="eastAsia"/>
          <w:sz w:val="28"/>
          <w:szCs w:val="28"/>
        </w:rPr>
        <w:t>承重为2000N；腰部</w:t>
      </w:r>
      <w:proofErr w:type="gramStart"/>
      <w:r>
        <w:rPr>
          <w:rFonts w:ascii="仿宋" w:eastAsia="仿宋" w:hAnsi="仿宋" w:cs="仿宋" w:hint="eastAsia"/>
          <w:sz w:val="28"/>
          <w:szCs w:val="28"/>
        </w:rPr>
        <w:t>固定带</w:t>
      </w:r>
      <w:proofErr w:type="gramEnd"/>
      <w:r>
        <w:rPr>
          <w:rFonts w:ascii="仿宋" w:eastAsia="仿宋" w:hAnsi="仿宋" w:cs="仿宋" w:hint="eastAsia"/>
          <w:sz w:val="28"/>
          <w:szCs w:val="28"/>
        </w:rPr>
        <w:t>的最大承重为1000 N。</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训练</w:t>
      </w:r>
      <w:proofErr w:type="gramStart"/>
      <w:r>
        <w:rPr>
          <w:rFonts w:ascii="仿宋" w:eastAsia="仿宋" w:hAnsi="仿宋" w:cs="仿宋" w:hint="eastAsia"/>
          <w:sz w:val="28"/>
          <w:szCs w:val="28"/>
        </w:rPr>
        <w:t>架左右</w:t>
      </w:r>
      <w:proofErr w:type="gramEnd"/>
      <w:r>
        <w:rPr>
          <w:rFonts w:ascii="仿宋" w:eastAsia="仿宋" w:hAnsi="仿宋" w:cs="仿宋" w:hint="eastAsia"/>
          <w:sz w:val="28"/>
          <w:szCs w:val="28"/>
        </w:rPr>
        <w:t>两侧的髋部支持</w:t>
      </w:r>
      <w:proofErr w:type="gramStart"/>
      <w:r>
        <w:rPr>
          <w:rFonts w:ascii="仿宋" w:eastAsia="仿宋" w:hAnsi="仿宋" w:cs="仿宋" w:hint="eastAsia"/>
          <w:sz w:val="28"/>
          <w:szCs w:val="28"/>
        </w:rPr>
        <w:t>垫距离</w:t>
      </w:r>
      <w:proofErr w:type="gramEnd"/>
      <w:r>
        <w:rPr>
          <w:rFonts w:ascii="仿宋" w:eastAsia="仿宋" w:hAnsi="仿宋" w:cs="仿宋" w:hint="eastAsia"/>
          <w:sz w:val="28"/>
          <w:szCs w:val="28"/>
        </w:rPr>
        <w:t>以及腰部</w:t>
      </w:r>
      <w:proofErr w:type="gramStart"/>
      <w:r>
        <w:rPr>
          <w:rFonts w:ascii="仿宋" w:eastAsia="仿宋" w:hAnsi="仿宋" w:cs="仿宋" w:hint="eastAsia"/>
          <w:sz w:val="28"/>
          <w:szCs w:val="28"/>
        </w:rPr>
        <w:t>固定带</w:t>
      </w:r>
      <w:proofErr w:type="gramEnd"/>
      <w:r>
        <w:rPr>
          <w:rFonts w:ascii="仿宋" w:eastAsia="仿宋" w:hAnsi="仿宋" w:cs="仿宋" w:hint="eastAsia"/>
          <w:sz w:val="28"/>
          <w:szCs w:val="28"/>
        </w:rPr>
        <w:t>的长度可调，适合不同体型患者使用。</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训练架的膝部支持垫的高度可调，适合不同身高的患者使用。</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※训练架的脚部固定装置使用弹簧开关设计，一踢一踩即可开关该装置，避免弯腰操作，方便治疗师或其他操作者使用。</w:t>
      </w:r>
    </w:p>
    <w:p w:rsidR="00EB3275" w:rsidRDefault="001441A8">
      <w:pPr>
        <w:pStyle w:val="a4"/>
        <w:numPr>
          <w:ilvl w:val="1"/>
          <w:numId w:val="2"/>
        </w:numPr>
        <w:spacing w:line="440" w:lineRule="exact"/>
        <w:ind w:left="1134" w:firstLineChars="0" w:hanging="708"/>
        <w:rPr>
          <w:rFonts w:ascii="仿宋" w:eastAsia="仿宋" w:hAnsi="仿宋" w:cs="仿宋"/>
          <w:sz w:val="28"/>
          <w:szCs w:val="28"/>
        </w:rPr>
      </w:pPr>
      <w:r>
        <w:rPr>
          <w:rFonts w:ascii="仿宋" w:eastAsia="仿宋" w:hAnsi="仿宋" w:cs="仿宋" w:hint="eastAsia"/>
          <w:sz w:val="28"/>
          <w:szCs w:val="28"/>
        </w:rPr>
        <w:t>训练</w:t>
      </w:r>
      <w:proofErr w:type="gramStart"/>
      <w:r>
        <w:rPr>
          <w:rFonts w:ascii="仿宋" w:eastAsia="仿宋" w:hAnsi="仿宋" w:cs="仿宋" w:hint="eastAsia"/>
          <w:sz w:val="28"/>
          <w:szCs w:val="28"/>
        </w:rPr>
        <w:t>架左右</w:t>
      </w:r>
      <w:proofErr w:type="gramEnd"/>
      <w:r>
        <w:rPr>
          <w:rFonts w:ascii="仿宋" w:eastAsia="仿宋" w:hAnsi="仿宋" w:cs="仿宋" w:hint="eastAsia"/>
          <w:sz w:val="28"/>
          <w:szCs w:val="28"/>
        </w:rPr>
        <w:t>两侧的髋部支持垫及腹部缓冲垫采用软硬适中的材料，减少训练过程中患者的不舒适感。</w:t>
      </w:r>
    </w:p>
    <w:p w:rsidR="00EB3275" w:rsidRDefault="001441A8">
      <w:pPr>
        <w:pStyle w:val="a4"/>
        <w:spacing w:line="440" w:lineRule="exact"/>
        <w:ind w:firstLineChars="0" w:firstLine="0"/>
        <w:jc w:val="center"/>
        <w:rPr>
          <w:rFonts w:ascii="仿宋" w:eastAsia="仿宋" w:hAnsi="仿宋" w:cs="仿宋"/>
          <w:sz w:val="28"/>
          <w:szCs w:val="28"/>
        </w:rPr>
      </w:pPr>
      <w:r>
        <w:rPr>
          <w:rFonts w:ascii="仿宋" w:eastAsia="仿宋" w:hAnsi="仿宋" w:cs="仿宋" w:hint="eastAsia"/>
          <w:b/>
          <w:bCs/>
          <w:kern w:val="0"/>
          <w:sz w:val="28"/>
          <w:szCs w:val="28"/>
        </w:rPr>
        <w:t>数字肌力测试仪参数</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一、功能描述：</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该设备可以给出准确、客观、可量化的肌力测试结果，用于力量评估、功能分析、康复评定、训练效果评估等方面。</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二、性能要求：</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 *数字式肌力测试，</w:t>
      </w:r>
      <w:proofErr w:type="gramStart"/>
      <w:r>
        <w:rPr>
          <w:rFonts w:ascii="仿宋" w:eastAsia="仿宋" w:hAnsi="仿宋" w:cs="仿宋" w:hint="eastAsia"/>
          <w:sz w:val="28"/>
          <w:szCs w:val="28"/>
        </w:rPr>
        <w:t>采用蓝牙无线</w:t>
      </w:r>
      <w:proofErr w:type="gramEnd"/>
      <w:r>
        <w:rPr>
          <w:rFonts w:ascii="仿宋" w:eastAsia="仿宋" w:hAnsi="仿宋" w:cs="仿宋" w:hint="eastAsia"/>
          <w:sz w:val="28"/>
          <w:szCs w:val="28"/>
        </w:rPr>
        <w:t>技术</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 符合人体工学设计，重量轻，易操作</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3 设计紧凑，适合使用者手形</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4 耐用性、重复性和准确性符合工业标准</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5 准确性和有效性经过专业学会认可</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6 *不少于3种配件，确保测试过程中肌肉单独发力以增加测试有效性</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7 LCD显示屏显示峰值力和持续时间</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8 可单独使用，也可配合临床数据采集软件一起使用</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9 *配置数据采集软件和临床分析软件，前者用于研究和教学，数据</w:t>
      </w:r>
      <w:r>
        <w:rPr>
          <w:rFonts w:ascii="仿宋" w:eastAsia="仿宋" w:hAnsi="仿宋" w:cs="仿宋" w:hint="eastAsia"/>
          <w:sz w:val="28"/>
          <w:szCs w:val="28"/>
        </w:rPr>
        <w:lastRenderedPageBreak/>
        <w:t>需通过CSV格式保存，后者可实现数据跟踪、分析和统计，并可出具报告</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三、技术要求：</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1 尺寸不大于4</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×1¾</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2 重量不大于0.8磅</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3 准确性不低于1%</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4 可选择测量单位：磅，牛顿，</w:t>
      </w:r>
      <w:proofErr w:type="spellStart"/>
      <w:r>
        <w:rPr>
          <w:rFonts w:ascii="仿宋" w:eastAsia="仿宋" w:hAnsi="仿宋" w:cs="仿宋" w:hint="eastAsia"/>
          <w:sz w:val="28"/>
          <w:szCs w:val="28"/>
        </w:rPr>
        <w:t>kgf</w:t>
      </w:r>
      <w:proofErr w:type="spellEnd"/>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5 *两个阈值设置：</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低阈值：0.8~300磅，每0.1增减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高阈值：3.0~300磅，每0.1增减</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6 自发激活睡眠模式以延长电池寿命</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四、配置要求</w:t>
      </w:r>
    </w:p>
    <w:p w:rsidR="00EB3275" w:rsidRDefault="001441A8">
      <w:pPr>
        <w:ind w:left="280" w:hangingChars="100" w:hanging="280"/>
        <w:jc w:val="left"/>
        <w:rPr>
          <w:rFonts w:ascii="仿宋" w:eastAsia="仿宋" w:hAnsi="仿宋" w:cs="仿宋"/>
          <w:sz w:val="28"/>
          <w:szCs w:val="28"/>
        </w:rPr>
      </w:pPr>
      <w:r>
        <w:rPr>
          <w:rFonts w:ascii="仿宋" w:eastAsia="仿宋" w:hAnsi="仿宋" w:cs="仿宋" w:hint="eastAsia"/>
          <w:sz w:val="28"/>
          <w:szCs w:val="28"/>
        </w:rPr>
        <w:t>主机1台，软件光盘2张，配件3个，用户手册1份，上肢和下肢测试记录卡各1本，测试定位图1张，便携箱1个，充电电池和充电器1套，笔记本电脑1套</w:t>
      </w:r>
    </w:p>
    <w:sectPr w:rsidR="00EB32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小标宋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3B2B"/>
    <w:multiLevelType w:val="multilevel"/>
    <w:tmpl w:val="0A353B2B"/>
    <w:lvl w:ilvl="0">
      <w:start w:val="1"/>
      <w:numFmt w:val="decimal"/>
      <w:lvlText w:val="6.%1"/>
      <w:lvlJc w:val="left"/>
      <w:pPr>
        <w:ind w:left="420" w:hanging="420"/>
      </w:pPr>
      <w:rPr>
        <w:rFonts w:hint="eastAsia"/>
      </w:rPr>
    </w:lvl>
    <w:lvl w:ilvl="1">
      <w:start w:val="1"/>
      <w:numFmt w:val="decimal"/>
      <w:lvlText w:val="2.%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8D740A1"/>
    <w:multiLevelType w:val="multilevel"/>
    <w:tmpl w:val="38D740A1"/>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kMzBhMGVmNGU1MDFjMzNkMjIzZjczYjdmNmVjNjUifQ=="/>
  </w:docVars>
  <w:rsids>
    <w:rsidRoot w:val="68F9203C"/>
    <w:rsid w:val="001441A8"/>
    <w:rsid w:val="00BE09D4"/>
    <w:rsid w:val="00EB3275"/>
    <w:rsid w:val="14760949"/>
    <w:rsid w:val="1DF95513"/>
    <w:rsid w:val="1E01326C"/>
    <w:rsid w:val="22F34C27"/>
    <w:rsid w:val="270E64D3"/>
    <w:rsid w:val="31CA1248"/>
    <w:rsid w:val="36A54032"/>
    <w:rsid w:val="3C9F28FD"/>
    <w:rsid w:val="3EEA117C"/>
    <w:rsid w:val="4302062F"/>
    <w:rsid w:val="63586960"/>
    <w:rsid w:val="68F9203C"/>
    <w:rsid w:val="70111D55"/>
    <w:rsid w:val="75BE41ED"/>
    <w:rsid w:val="7C1E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D47BF"/>
  <w15:docId w15:val="{0C0A6033-02F2-434F-8B42-D9C889E3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甜蜜击杀</dc:creator>
  <cp:lastModifiedBy>临时使用</cp:lastModifiedBy>
  <cp:revision>3</cp:revision>
  <dcterms:created xsi:type="dcterms:W3CDTF">2023-05-22T08:44:00Z</dcterms:created>
  <dcterms:modified xsi:type="dcterms:W3CDTF">2023-05-26T03:51:00Z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0C28DC91993246E5A717E5476AD19E8E_11</vt:lpwstr>
  </property>
</Properties>
</file>