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采购需求表</w:t>
      </w:r>
      <w:bookmarkStart w:id="2" w:name="_GoBack"/>
      <w:bookmarkEnd w:id="2"/>
    </w:p>
    <w:p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0X 单细胞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</w:rPr>
        <w:t>转录组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2个样本）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测序平台：能提供两种及以上的测序平台；</w:t>
      </w:r>
    </w:p>
    <w:p>
      <w:pPr>
        <w:pStyle w:val="3"/>
        <w:spacing w:line="360" w:lineRule="auto"/>
        <w:ind w:left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测序参数：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120G</w:t>
      </w:r>
    </w:p>
    <w:p>
      <w:pPr>
        <w:pStyle w:val="3"/>
        <w:spacing w:line="360" w:lineRule="auto"/>
        <w:ind w:left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测序平台：I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llumina Nova 6000</w:t>
      </w:r>
      <w:r>
        <w:rPr>
          <w:rFonts w:ascii="Times New Roman" w:hAnsi="Times New Roman" w:cs="Times New Roman"/>
          <w:sz w:val="28"/>
          <w:szCs w:val="28"/>
          <w:highlight w:val="none"/>
        </w:rPr>
        <w:t>平台</w:t>
      </w:r>
    </w:p>
    <w:p>
      <w:pPr>
        <w:pStyle w:val="3"/>
        <w:spacing w:line="360" w:lineRule="auto"/>
        <w:ind w:left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测序读长：PE150 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reads</w:t>
      </w:r>
      <w:r>
        <w:rPr>
          <w:rFonts w:ascii="Times New Roman" w:hAnsi="Times New Roman" w:cs="Times New Roman"/>
          <w:sz w:val="28"/>
          <w:szCs w:val="28"/>
          <w:highlight w:val="none"/>
        </w:rPr>
        <w:t>2 Q30&gt; 85%；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流式细胞分选平台： </w:t>
      </w:r>
    </w:p>
    <w:p>
      <w:pPr>
        <w:pStyle w:val="3"/>
        <w:spacing w:line="360" w:lineRule="auto"/>
        <w:ind w:left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能提供流式细胞分选服务；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已发文章：</w:t>
      </w:r>
    </w:p>
    <w:p>
      <w:pPr>
        <w:pStyle w:val="3"/>
        <w:spacing w:line="360" w:lineRule="auto"/>
        <w:ind w:left="3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拥有单细胞方向相关文章。IF＞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分 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20</w:t>
      </w:r>
      <w:r>
        <w:rPr>
          <w:rFonts w:ascii="Times New Roman" w:hAnsi="Times New Roman" w:cs="Times New Roman"/>
          <w:sz w:val="28"/>
          <w:szCs w:val="28"/>
          <w:highlight w:val="none"/>
        </w:rPr>
        <w:t>篇以上；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技术路线：技术路线：</w:t>
      </w:r>
    </w:p>
    <w:p>
      <w:pPr>
        <w:pStyle w:val="3"/>
        <w:spacing w:line="360" w:lineRule="auto"/>
        <w:ind w:left="4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0X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genomic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单细胞</w:t>
      </w:r>
      <w:r>
        <w:rPr>
          <w:rFonts w:ascii="Times New Roman" w:hAnsi="Times New Roman" w:cs="Times New Roman"/>
          <w:sz w:val="28"/>
          <w:szCs w:val="28"/>
          <w:highlight w:val="none"/>
        </w:rPr>
        <w:t>转录组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样品制备――</w:t>
      </w:r>
      <w:r>
        <w:rPr>
          <w:rFonts w:ascii="Times New Roman" w:hAnsi="Times New Roman" w:cs="Times New Roman"/>
          <w:sz w:val="28"/>
          <w:szCs w:val="28"/>
          <w:highlight w:val="none"/>
        </w:rPr>
        <w:t>单细胞文库pooling制备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――</w:t>
      </w:r>
      <w:r>
        <w:rPr>
          <w:rFonts w:ascii="Times New Roman" w:hAnsi="Times New Roman" w:cs="Times New Roman"/>
          <w:sz w:val="28"/>
          <w:szCs w:val="28"/>
          <w:highlight w:val="none"/>
        </w:rPr>
        <w:t>文库构建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――</w:t>
      </w:r>
      <w:r>
        <w:rPr>
          <w:rFonts w:ascii="Times New Roman" w:hAnsi="Times New Roman" w:cs="Times New Roman"/>
          <w:sz w:val="28"/>
          <w:szCs w:val="28"/>
          <w:highlight w:val="none"/>
        </w:rPr>
        <w:t>上机测序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――</w:t>
      </w:r>
      <w:r>
        <w:rPr>
          <w:rFonts w:ascii="Times New Roman" w:hAnsi="Times New Roman" w:cs="Times New Roman"/>
          <w:sz w:val="28"/>
          <w:szCs w:val="28"/>
          <w:highlight w:val="none"/>
        </w:rPr>
        <w:t>生物信息学分析。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信息分析条款：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1.测序数据质控和表达量定量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2.细胞过滤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3.单细胞亚群分类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4.亚群上调表达基因分析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5.GSVA分析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6.转录因子注释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7.膜蛋白注释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8.细胞周期分析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9.已知表达基因（分子marker或表面标记物)在各亚群表达分布图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10.拟时分析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11.PAGA拟时分析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12.样本间差异基因分析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13.CellphoneDB细胞通讯分析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14.Cellchat细胞通讯分析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15.转录因子分析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16.细胞周期分析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17.单细胞CNV分析（限肿瘤）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18.RNA速率分析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19.WGCNA分析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在线云报告系统和在线云平台工具 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提供单细胞转录组数据分析的</w:t>
      </w:r>
      <w:r>
        <w:rPr>
          <w:rFonts w:ascii="Times New Roman" w:hAnsi="Times New Roman" w:cs="Times New Roman"/>
          <w:sz w:val="28"/>
          <w:szCs w:val="28"/>
          <w:highlight w:val="none"/>
        </w:rPr>
        <w:t>在线云报告系统和在线云工具，可供客户实时交互式分析、使用在线报告进行数据分析、数据筛选、绘图等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，须要满足以下条件：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（1）单细胞转录组在线云报告必须包含以下功能，以便能够满足在线数据个性化挖掘的需求：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hAnsi="Times New Roman" w:cs="Times New Roman"/>
          <w:sz w:val="28"/>
          <w:szCs w:val="28"/>
          <w:highlight w:val="none"/>
        </w:rPr>
        <w:t>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提供配套的动物细胞注释参考数据库（至少包含3种动物物种），并提供至少两种软件用于细胞亚群自动化注释；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</w:t>
      </w:r>
      <w:r>
        <w:rPr>
          <w:rFonts w:ascii="Times New Roman" w:hAnsi="Times New Roman" w:cs="Times New Roman"/>
          <w:sz w:val="28"/>
          <w:szCs w:val="28"/>
          <w:highlight w:val="none"/>
        </w:rPr>
        <w:t>）能够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针对</w:t>
      </w:r>
      <w:r>
        <w:rPr>
          <w:rFonts w:ascii="Times New Roman" w:hAnsi="Times New Roman" w:cs="Times New Roman"/>
          <w:sz w:val="28"/>
          <w:szCs w:val="28"/>
          <w:highlight w:val="none"/>
        </w:rPr>
        <w:t>目标细胞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亚群构建细胞集，并进行子亚群再分群；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3）针对目标亚群，能够开展不同子亚群、不同处理组间差异分析；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4）针对目标亚群，能够提供至少两种拟时分析软件（例如monocle</w:t>
      </w:r>
      <w:r>
        <w:rPr>
          <w:rFonts w:ascii="Times New Roman" w:hAnsi="Times New Roman" w:cs="Times New Roman"/>
          <w:sz w:val="28"/>
          <w:szCs w:val="28"/>
          <w:highlight w:val="none"/>
        </w:rPr>
        <w:t>2 + PAGA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）开展拟时分析；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（2）在线云工具须至少包含150种工具。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（3）在线云报告和在线云工具须具有的省级或者省级以上荣誉证书。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七、企业资质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（1）</w:t>
      </w:r>
      <w:r>
        <w:rPr>
          <w:rFonts w:ascii="Times New Roman" w:hAnsi="Times New Roman" w:cs="Times New Roman"/>
          <w:sz w:val="28"/>
          <w:szCs w:val="28"/>
          <w:highlight w:val="none"/>
        </w:rPr>
        <w:t>国家级高新技术企业、ISO9001认证、B级或以上的资信等级证明、守合同重信用及行业协会第三方机构颁发的企业诚信证明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（2）具有转录调控或者单细胞测序相关的技术主题专著，且专著已取得有效的作品登记证书。</w:t>
      </w:r>
    </w:p>
    <w:p>
      <w:pPr>
        <w:pStyle w:val="3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（3）具有已授权的单细胞测序技术相关发明专利不少于6个，其中必须包含单细胞数据生物信息类发明专利至少4个。</w:t>
      </w:r>
    </w:p>
    <w:p>
      <w:pPr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br w:type="page"/>
      </w:r>
    </w:p>
    <w:p>
      <w:pPr>
        <w:ind w:firstLine="2898" w:firstLineChars="1031"/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全转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录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组（9个样本）</w:t>
      </w:r>
    </w:p>
    <w:p>
      <w:pPr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1、文库构建</w:t>
      </w:r>
    </w:p>
    <w:p>
      <w:pPr>
        <w:pStyle w:val="12"/>
        <w:ind w:left="360" w:firstLine="56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1）构建两种文库测序： LncRNA + Small RNA</w:t>
      </w:r>
    </w:p>
    <w:p>
      <w:pPr>
        <w:pStyle w:val="12"/>
        <w:ind w:left="360" w:firstLine="56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MS Gothic" w:hAnsi="MS Gothic" w:eastAsia="MS Gothic" w:cs="MS Gothic"/>
          <w:sz w:val="28"/>
          <w:szCs w:val="28"/>
          <w:highlight w:val="none"/>
        </w:rPr>
        <w:t>✓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大RNA 研究：采用 LncRNA Seq 测序模式，即采用去核糖体链特异性建库模式，进行PE150测序模式，12G Clean data；实现lncRNA、mRNA、circRNA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鉴定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、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定量以及功能分析；</w:t>
      </w:r>
    </w:p>
    <w:p>
      <w:pPr>
        <w:pStyle w:val="12"/>
        <w:ind w:left="360" w:firstLine="56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MS Gothic" w:hAnsi="MS Gothic" w:eastAsia="MS Gothic" w:cs="MS Gothic"/>
          <w:sz w:val="28"/>
          <w:szCs w:val="28"/>
          <w:highlight w:val="none"/>
        </w:rPr>
        <w:t>✓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小RNA研究：采用富集小RNA片段建库方法，进行有方向性的SE50测序模式，10M clean reads ，实现miRNA鉴定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、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定量以及功能分析。</w:t>
      </w:r>
    </w:p>
    <w:p>
      <w:pPr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2、生物信息分析</w:t>
      </w:r>
    </w:p>
    <w:p>
      <w:pPr>
        <w:pStyle w:val="14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 xml:space="preserve">2.1 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  <w:t>LncRNA部分：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1.数据质控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.比对分析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3.基因分析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4.Lnc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LncRNA分析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LncRNA表达分析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样本关系分析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LncRNA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样本间差异分析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5)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LncRNA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组间间差异分析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6)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LncRNA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家族分析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7)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miRNA前体预测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.SNP分析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6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.基因结构优化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.基因可变剪切鉴定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LncRNA trans作用靶基因预测</w:t>
      </w:r>
    </w:p>
    <w:p>
      <w:pPr>
        <w:pStyle w:val="14"/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 xml:space="preserve">2.2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m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RNA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部分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0" w:name="OLE_LINK3"/>
      <w:bookmarkEnd w:id="0"/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新基因分析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表达量统计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3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样本关系分析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样本间差异分析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5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组间差异分析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差异基因整体统计；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差异比较火山图；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差异基因聚类热图；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GO功能富集分析（富集圈图、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富集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气泡图、柱形图绘制、差异富集气泡图）；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K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EGG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功能富集分析（富集圈图、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富集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气泡图、柱形图绘制、差异富集气泡图）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6)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蛋白互作网络分析（P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PI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分析）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G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SEA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6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基因表达趋势分析（三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组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或以上样品）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ncRNA与mRNA关联分析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Antisense分析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Cis分析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Trans分析</w:t>
      </w:r>
    </w:p>
    <w:p>
      <w:pPr>
        <w:pStyle w:val="14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2.3 S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  <w:t>mall</w:t>
      </w: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  <w:t>RNA部分：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.原始数据过滤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.Small RNA的长度分布统计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与 genebank 和 Rfam 数据库的比对信息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在参考基因组上的分布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5.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 xml:space="preserve">与 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exon/intron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的比对信息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6.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与重复序列的比对信息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7.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 xml:space="preserve">与 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miRBase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 xml:space="preserve">中指定物种的已存在的 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的比对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8.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 xml:space="preserve">与 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miRBase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 xml:space="preserve"> 中已知的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的比对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9.利用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Mireap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对没有注释的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进行新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预测，绘制新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的二级结构图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0.按照优先级将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Small 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进行分类注释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的表达量统计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的家族分析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13.miRNA主成分分析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14.miRNA表达模式聚类分析（热图）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.样品间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差异表达分析（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个或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个以上样品）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 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16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靶基因预测（需要提供基因编码序列）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靶基因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GO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/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KEGG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功能富集分析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 xml:space="preserve">miRNA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的碱基编辑分析（已存在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miRNA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.内含子miRNA的reads分布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.特定通路潜在受miRNA调控的靶基因分布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.miRNA-mRNA调控网络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两两比较组关联分析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多组样品关联分析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.miRNA-lncRNA调控网络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两两比较组关联分析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多组样品关联分析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23.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miRNA-circRNA调控网络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两两比较组关联分析</w:t>
      </w:r>
    </w:p>
    <w:p>
      <w:pPr>
        <w:pStyle w:val="14"/>
        <w:ind w:firstLine="280" w:firstLineChars="1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2)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多组样品关联分析</w:t>
      </w:r>
    </w:p>
    <w:p>
      <w:pPr>
        <w:pStyle w:val="14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2.4 CircRNA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  <w:t>部分：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1.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测序质量评估与原始数据过滤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2.比对分析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3.环状RNA鉴定（find_circ软件）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4.环状RNA来源基因的GO/K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EGG/DO/R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eactome功能富集分析（D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O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仅限人；Reactome仅限人、鼠）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5.环状RNA统计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6.环状RNA表达定量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7.样本关系分析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8.环状RNA差异表达分析（样本/组间）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9.数据库注释（circBase）与新环状RNA预测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10.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环状RNA与miRNA靶向关系预测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11.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circRNA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-miRNA-mRNA网络调控图</w:t>
      </w:r>
    </w:p>
    <w:p>
      <w:pPr>
        <w:pStyle w:val="14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.ceRNA调控网络</w:t>
      </w:r>
    </w:p>
    <w:p>
      <w:pPr>
        <w:pStyle w:val="14"/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</w:pPr>
      <w:bookmarkStart w:id="1" w:name="OLE_LINK4"/>
      <w:bookmarkEnd w:id="1"/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2.5 提供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全转录组及多组学关联（ceRNA）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</w:rPr>
        <w:t>在线数据挖掘分析系统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42D2A"/>
    <w:multiLevelType w:val="multilevel"/>
    <w:tmpl w:val="5D042D2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DU0YzNiM2M4OTBhNmI3NzhkODdlZmYwMzVlMzAifQ=="/>
  </w:docVars>
  <w:rsids>
    <w:rsidRoot w:val="00943953"/>
    <w:rsid w:val="000A6D31"/>
    <w:rsid w:val="000C4C23"/>
    <w:rsid w:val="001C496C"/>
    <w:rsid w:val="001F4B86"/>
    <w:rsid w:val="00287B60"/>
    <w:rsid w:val="003302B3"/>
    <w:rsid w:val="00343918"/>
    <w:rsid w:val="003A6FB2"/>
    <w:rsid w:val="00434B51"/>
    <w:rsid w:val="00445B00"/>
    <w:rsid w:val="00456DC2"/>
    <w:rsid w:val="00472AD4"/>
    <w:rsid w:val="004974D0"/>
    <w:rsid w:val="00551DC3"/>
    <w:rsid w:val="00616287"/>
    <w:rsid w:val="00617235"/>
    <w:rsid w:val="006E251E"/>
    <w:rsid w:val="007259B0"/>
    <w:rsid w:val="008378A9"/>
    <w:rsid w:val="00863538"/>
    <w:rsid w:val="00873FA9"/>
    <w:rsid w:val="00890252"/>
    <w:rsid w:val="00902559"/>
    <w:rsid w:val="0090440B"/>
    <w:rsid w:val="00923F4F"/>
    <w:rsid w:val="009258DF"/>
    <w:rsid w:val="0093049A"/>
    <w:rsid w:val="00935081"/>
    <w:rsid w:val="00943953"/>
    <w:rsid w:val="00A17D34"/>
    <w:rsid w:val="00BE3A18"/>
    <w:rsid w:val="00D47B64"/>
    <w:rsid w:val="00D8375A"/>
    <w:rsid w:val="00E069D2"/>
    <w:rsid w:val="00E71C21"/>
    <w:rsid w:val="00F3643F"/>
    <w:rsid w:val="38B51073"/>
    <w:rsid w:val="3A776686"/>
    <w:rsid w:val="471039F4"/>
    <w:rsid w:val="591A76C9"/>
    <w:rsid w:val="78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0"/>
    <w:rPr>
      <w:rFonts w:ascii="宋体" w:hAnsi="Courier New" w:eastAsia="宋体"/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uiPriority w:val="99"/>
    <w:rPr>
      <w:rFonts w:ascii="Courier New" w:hAnsi="Courier New" w:eastAsia="宋体" w:cs="Courier New"/>
      <w:sz w:val="20"/>
      <w:szCs w:val="20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8"/>
    <w:link w:val="3"/>
    <w:qFormat/>
    <w:uiPriority w:val="0"/>
    <w:rPr>
      <w:rFonts w:ascii="宋体" w:hAnsi="Courier New" w:eastAsia="宋体"/>
      <w:sz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eastAsia="等线" w:cs="等线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HTML 预设格式 字符"/>
    <w:basedOn w:val="8"/>
    <w:link w:val="6"/>
    <w:uiPriority w:val="99"/>
    <w:rPr>
      <w:rFonts w:ascii="Courier New" w:hAnsi="Courier New" w:eastAsia="宋体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1756</Words>
  <Characters>2453</Characters>
  <Lines>18</Lines>
  <Paragraphs>5</Paragraphs>
  <TotalTime>57</TotalTime>
  <ScaleCrop>false</ScaleCrop>
  <LinksUpToDate>false</LinksUpToDate>
  <CharactersWithSpaces>2599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2023-05-04T07:55:00Z</dcterms:created>
  <dc:creator>姜莹(Ying Jiang)</dc:creator>
  <cp:lastModifiedBy>copy</cp:lastModifiedBy>
  <dcterms:modified xsi:type="dcterms:W3CDTF">2023-05-16T03:42:39Z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C3903871B0E645B7890F0BC22AA7A4D1_13</vt:lpwstr>
  </property>
</Properties>
</file>