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0"/>
          <w:numId w:val="2"/>
        </w:numPr>
        <w:outlineLvl w:val="0"/>
        <w:rPr>
          <w:color w:val="auto"/>
          <w:sz w:val="32"/>
          <w:szCs w:val="32"/>
          <w:highlight w:val="none"/>
        </w:rPr>
      </w:pPr>
      <w:r>
        <w:rPr>
          <w:rFonts w:hint="eastAsia"/>
          <w:color w:val="auto"/>
          <w:sz w:val="32"/>
          <w:szCs w:val="32"/>
          <w:highlight w:val="none"/>
        </w:rPr>
        <w:t>货物需求一览表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号条款为一般性参数指标，负偏离达2项（含）以上的，竞标文件将被视为无效。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p>
      <w:pPr>
        <w:spacing w:line="360" w:lineRule="auto"/>
        <w:ind w:left="0" w:leftChars="0" w:firstLine="422" w:firstLineChars="200"/>
        <w:jc w:val="left"/>
        <w:rPr>
          <w:rFonts w:hint="default"/>
          <w:b/>
          <w:bCs/>
          <w:color w:val="auto"/>
          <w:highlight w:val="none"/>
          <w:lang w:val="en-US" w:eastAsia="zh-CN"/>
        </w:rPr>
      </w:pPr>
      <w:r>
        <w:rPr>
          <w:rFonts w:hint="eastAsia"/>
          <w:b/>
          <w:bCs/>
          <w:color w:val="auto"/>
          <w:highlight w:val="none"/>
          <w:lang w:val="en-US" w:eastAsia="zh-CN"/>
        </w:rPr>
        <w:t>7、采购内容所属行业为工业。</w:t>
      </w:r>
    </w:p>
    <w:p>
      <w:pPr>
        <w:rPr>
          <w:rFonts w:hint="default"/>
          <w:b/>
          <w:bCs/>
          <w:color w:val="auto"/>
          <w:highlight w:val="none"/>
          <w:lang w:val="en-US" w:eastAsia="zh-CN"/>
        </w:rPr>
      </w:pPr>
      <w:r>
        <w:rPr>
          <w:rFonts w:hint="eastAsia" w:ascii="宋体" w:hAnsi="宋体" w:eastAsia="宋体" w:cs="宋体"/>
          <w:b/>
          <w:color w:val="auto"/>
          <w:szCs w:val="21"/>
          <w:highlight w:val="none"/>
        </w:rPr>
        <w:t>核心产品为下表的第</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1</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项产品。</w:t>
      </w:r>
    </w:p>
    <w:tbl>
      <w:tblPr>
        <w:tblStyle w:val="7"/>
        <w:tblW w:w="9180"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2"/>
        <w:gridCol w:w="1762"/>
        <w:gridCol w:w="51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180"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rPr>
                <w:rFonts w:cs="Times New Roman"/>
                <w:b/>
                <w:color w:val="auto"/>
                <w:highlight w:val="none"/>
              </w:rPr>
            </w:pPr>
            <w:r>
              <w:rPr>
                <w:rFonts w:cs="Times New Roman"/>
                <w:b/>
                <w:color w:val="auto"/>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29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cs="Times New Roman"/>
                <w:color w:val="auto"/>
                <w:highlight w:val="none"/>
              </w:rPr>
            </w:pPr>
            <w:r>
              <w:rPr>
                <w:rFonts w:cs="Times New Roman"/>
                <w:color w:val="auto"/>
                <w:highlight w:val="none"/>
              </w:rPr>
              <w:t>采购内容</w:t>
            </w:r>
          </w:p>
        </w:tc>
        <w:tc>
          <w:tcPr>
            <w:tcW w:w="176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eastAsia="宋体" w:cs="Times New Roman"/>
                <w:color w:val="auto"/>
                <w:highlight w:val="none"/>
                <w:lang w:eastAsia="zh-CN"/>
              </w:rPr>
            </w:pPr>
            <w:r>
              <w:rPr>
                <w:rFonts w:hint="eastAsia" w:cs="Times New Roman"/>
                <w:color w:val="auto"/>
                <w:highlight w:val="none"/>
                <w:lang w:eastAsia="zh-CN"/>
              </w:rPr>
              <w:t>采购预算单价</w:t>
            </w:r>
          </w:p>
        </w:tc>
        <w:tc>
          <w:tcPr>
            <w:tcW w:w="512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cs="Times New Roman"/>
                <w:color w:val="auto"/>
                <w:highlight w:val="none"/>
              </w:rPr>
            </w:pPr>
            <w:r>
              <w:rPr>
                <w:rFonts w:cs="Times New Roman"/>
                <w:color w:val="auto"/>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4" w:hRule="atLeast"/>
        </w:trPr>
        <w:tc>
          <w:tcPr>
            <w:tcW w:w="2292" w:type="dxa"/>
            <w:tcBorders>
              <w:left w:val="single" w:color="auto" w:sz="4" w:space="0"/>
              <w:bottom w:val="single" w:color="auto" w:sz="4" w:space="0"/>
              <w:right w:val="single" w:color="auto" w:sz="4" w:space="0"/>
            </w:tcBorders>
            <w:vAlign w:val="center"/>
          </w:tcPr>
          <w:p>
            <w:pPr>
              <w:spacing w:line="400" w:lineRule="exact"/>
              <w:jc w:val="center"/>
              <w:rPr>
                <w:rFonts w:hint="default" w:eastAsia="宋体" w:cs="Times New Roman"/>
                <w:color w:val="auto"/>
                <w:kern w:val="0"/>
                <w:highlight w:val="none"/>
                <w:lang w:val="en-US" w:eastAsia="zh-CN"/>
              </w:rPr>
            </w:pPr>
            <w:r>
              <w:rPr>
                <w:rFonts w:hint="default" w:eastAsia="宋体" w:cs="Times New Roman"/>
                <w:color w:val="auto"/>
                <w:kern w:val="0"/>
                <w:highlight w:val="none"/>
                <w:lang w:val="en-US" w:eastAsia="zh-CN"/>
              </w:rPr>
              <w:t>全自动免疫组化染色仪</w:t>
            </w:r>
          </w:p>
        </w:tc>
        <w:tc>
          <w:tcPr>
            <w:tcW w:w="17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Times New Roman"/>
                <w:color w:val="auto"/>
                <w:kern w:val="0"/>
                <w:highlight w:val="none"/>
                <w:lang w:val="en-US" w:eastAsia="zh-CN"/>
              </w:rPr>
            </w:pPr>
            <w:r>
              <w:rPr>
                <w:rFonts w:hint="eastAsia" w:cs="Times New Roman"/>
                <w:color w:val="auto"/>
                <w:kern w:val="0"/>
                <w:highlight w:val="none"/>
                <w:lang w:val="en-US" w:eastAsia="zh-CN"/>
              </w:rPr>
              <w:t>270000元/套</w:t>
            </w:r>
          </w:p>
        </w:tc>
        <w:tc>
          <w:tcPr>
            <w:tcW w:w="5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bookmarkStart w:id="1" w:name="OLE_LINK1"/>
            <w:bookmarkStart w:id="2" w:name="OLE_LINK2"/>
            <w:r>
              <w:rPr>
                <w:rFonts w:hint="eastAsia" w:ascii="宋体" w:hAnsi="宋体" w:eastAsia="宋体" w:cs="宋体"/>
                <w:bCs/>
                <w:color w:val="auto"/>
                <w:sz w:val="21"/>
                <w:szCs w:val="21"/>
                <w:highlight w:val="none"/>
              </w:rPr>
              <w:t>1．应用试剂：</w:t>
            </w:r>
            <w:r>
              <w:rPr>
                <w:rFonts w:hint="eastAsia" w:ascii="宋体" w:hAnsi="宋体" w:eastAsia="宋体" w:cs="宋体"/>
                <w:color w:val="auto"/>
                <w:sz w:val="21"/>
                <w:szCs w:val="21"/>
                <w:highlight w:val="none"/>
              </w:rPr>
              <w:t>一抗开放，可以提供和应用标准化的检测试剂系统。</w:t>
            </w:r>
            <w:bookmarkEnd w:id="1"/>
            <w:bookmarkEnd w:id="2"/>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 切片数量：每个工作平台可以同时染色48张切片。</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▲3．试剂数量：可以同时使用多达42种试剂。</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4．适用标本范围：含但不限于</w:t>
            </w:r>
            <w:r>
              <w:rPr>
                <w:rFonts w:hint="eastAsia" w:ascii="宋体" w:hAnsi="宋体" w:eastAsia="宋体" w:cs="宋体"/>
                <w:color w:val="auto"/>
                <w:sz w:val="21"/>
                <w:szCs w:val="21"/>
                <w:highlight w:val="none"/>
              </w:rPr>
              <w:t>石蜡切片，冰冻切片，细胞涂片，骨髓片等。</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适用染色范围：含但不限于</w:t>
            </w:r>
            <w:r>
              <w:rPr>
                <w:rFonts w:hint="eastAsia" w:ascii="宋体" w:hAnsi="宋体" w:eastAsia="宋体" w:cs="宋体"/>
                <w:color w:val="auto"/>
                <w:sz w:val="21"/>
                <w:szCs w:val="21"/>
                <w:highlight w:val="none"/>
              </w:rPr>
              <w:t>免疫组化，免疫荧光，特殊染色, HE染色等。</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highlight w:val="none"/>
              </w:rPr>
              <w:t>▲</w:t>
            </w:r>
            <w:r>
              <w:rPr>
                <w:rFonts w:hint="eastAsia" w:ascii="宋体" w:hAnsi="宋体" w:eastAsia="宋体" w:cs="宋体"/>
                <w:color w:val="auto"/>
                <w:sz w:val="21"/>
                <w:szCs w:val="21"/>
                <w:highlight w:val="none"/>
              </w:rPr>
              <w:t>6.加样方式：恒定气流吹排覆盖液体后，可灵活选择试剂滴加区域，使玻片反应环境达到最佳，</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highlight w:val="none"/>
              </w:rPr>
              <w:t>▲</w:t>
            </w:r>
            <w:r>
              <w:rPr>
                <w:rFonts w:hint="eastAsia" w:ascii="宋体" w:hAnsi="宋体" w:eastAsia="宋体" w:cs="宋体"/>
                <w:bCs/>
                <w:color w:val="auto"/>
                <w:sz w:val="21"/>
                <w:szCs w:val="21"/>
                <w:highlight w:val="none"/>
              </w:rPr>
              <w:t>7．抗原修复方式：采用大容量水浴修复，效果稳定均匀一致，</w:t>
            </w:r>
            <w:r>
              <w:rPr>
                <w:rFonts w:hint="eastAsia" w:ascii="宋体" w:hAnsi="宋体" w:eastAsia="宋体" w:cs="宋体"/>
                <w:color w:val="auto"/>
                <w:sz w:val="21"/>
                <w:szCs w:val="21"/>
                <w:highlight w:val="none"/>
              </w:rPr>
              <w:t>可重复性好。</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8．自动清洗功能：</w:t>
            </w:r>
            <w:r>
              <w:rPr>
                <w:rFonts w:hint="eastAsia" w:ascii="宋体" w:hAnsi="宋体" w:eastAsia="宋体" w:cs="宋体"/>
                <w:color w:val="auto"/>
                <w:sz w:val="21"/>
                <w:szCs w:val="21"/>
                <w:highlight w:val="none"/>
              </w:rPr>
              <w:t>自动记录切片染色数，</w:t>
            </w:r>
            <w:r>
              <w:rPr>
                <w:rFonts w:hint="eastAsia" w:ascii="宋体" w:hAnsi="宋体" w:eastAsia="宋体" w:cs="宋体"/>
                <w:bCs/>
                <w:color w:val="auto"/>
                <w:sz w:val="21"/>
                <w:szCs w:val="21"/>
                <w:highlight w:val="none"/>
              </w:rPr>
              <w:t>具有</w:t>
            </w:r>
            <w:r>
              <w:rPr>
                <w:rFonts w:hint="eastAsia" w:ascii="宋体" w:hAnsi="宋体" w:eastAsia="宋体" w:cs="宋体"/>
                <w:color w:val="auto"/>
                <w:sz w:val="21"/>
                <w:szCs w:val="21"/>
                <w:highlight w:val="none"/>
              </w:rPr>
              <w:t>自动清洗程。</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9．运行模板：预设常用染色程序模版，可以自行设计和存储模版，可以同时运行</w:t>
            </w:r>
            <w:r>
              <w:rPr>
                <w:rFonts w:hint="eastAsia" w:ascii="宋体" w:hAnsi="宋体" w:eastAsia="宋体" w:cs="宋体"/>
                <w:color w:val="auto"/>
                <w:sz w:val="21"/>
                <w:szCs w:val="21"/>
                <w:highlight w:val="none"/>
              </w:rPr>
              <w:t>几种不同的染色程序模板。</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10．环保排流系统：</w:t>
            </w:r>
            <w:r>
              <w:rPr>
                <w:rFonts w:hint="eastAsia" w:ascii="宋体" w:hAnsi="宋体" w:eastAsia="宋体" w:cs="宋体"/>
                <w:color w:val="auto"/>
                <w:sz w:val="21"/>
                <w:szCs w:val="21"/>
                <w:highlight w:val="none"/>
              </w:rPr>
              <w:t>有毒废水分开排放。</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11．文件打印系统：</w:t>
            </w:r>
            <w:r>
              <w:rPr>
                <w:rFonts w:hint="eastAsia" w:ascii="宋体" w:hAnsi="宋体" w:eastAsia="宋体" w:cs="宋体"/>
                <w:color w:val="auto"/>
                <w:sz w:val="21"/>
                <w:szCs w:val="21"/>
                <w:highlight w:val="none"/>
              </w:rPr>
              <w:t>标准印机，可以打印实验记录和文件报告。</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12．标签打印系统：</w:t>
            </w:r>
            <w:r>
              <w:rPr>
                <w:rFonts w:hint="eastAsia" w:ascii="宋体" w:hAnsi="宋体" w:eastAsia="宋体" w:cs="宋体"/>
                <w:color w:val="auto"/>
                <w:sz w:val="21"/>
                <w:szCs w:val="21"/>
                <w:highlight w:val="none"/>
              </w:rPr>
              <w:t>标签打印机，可以打印防潮耐腐蚀抗有机溶剂的标签。</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13．液面探测系统：</w:t>
            </w:r>
            <w:r>
              <w:rPr>
                <w:rFonts w:hint="eastAsia" w:ascii="宋体" w:hAnsi="宋体" w:eastAsia="宋体" w:cs="宋体"/>
                <w:color w:val="auto"/>
                <w:sz w:val="21"/>
                <w:szCs w:val="21"/>
                <w:highlight w:val="none"/>
              </w:rPr>
              <w:t>具备自动试剂液面检测功能。</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二维码阅读系统：</w:t>
            </w:r>
            <w:r>
              <w:rPr>
                <w:rFonts w:hint="eastAsia" w:ascii="宋体" w:hAnsi="宋体" w:eastAsia="宋体" w:cs="宋体"/>
                <w:color w:val="auto"/>
                <w:sz w:val="21"/>
                <w:szCs w:val="21"/>
                <w:highlight w:val="none"/>
              </w:rPr>
              <w:t>软件支持切片二维码的识别，可以同时对切片和试剂进行条码识别。</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医院与实验室信息管理系统连接：可以与医院信息系统（HIS）和实验室信息管理系统（LIS）连接，实现数据共享。可实现实验室信息共享。</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16．本地局域网连接和远程管理：可以与本地局域网连接，实现远程在线管理和监视染色程序。</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与其他仪器的系统兼容性： 可以与同一供应商的其他相关仪器共享管理软件和平台，实现系统管理。</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18．电脑主机：主机配置为系统标配，一台主机可以同时操控3个以上（含3个）工作平台。</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抗原自动修复系统：系统包括抗原自动修复工作功能或平台，可同时进行低PH和高PH修复。</w:t>
            </w:r>
          </w:p>
          <w:p>
            <w:pPr>
              <w:keepNext w:val="0"/>
              <w:keepLines w:val="0"/>
              <w:pageBreakBefore w:val="0"/>
              <w:widowControl/>
              <w:kinsoku/>
              <w:wordWrap/>
              <w:overflowPunct/>
              <w:topLinePunct w:val="0"/>
              <w:autoSpaceDE/>
              <w:autoSpaceDN/>
              <w:bidi w:val="0"/>
              <w:spacing w:line="400" w:lineRule="exact"/>
              <w:ind w:left="650" w:leftChars="0" w:hanging="650" w:hangingChars="277"/>
              <w:jc w:val="left"/>
              <w:textAlignment w:val="auto"/>
              <w:rPr>
                <w:rFonts w:hint="eastAsia" w:ascii="宋体" w:hAnsi="宋体" w:eastAsia="宋体" w:cs="宋体"/>
                <w:bCs/>
                <w:color w:val="auto"/>
                <w:spacing w:val="12"/>
                <w:sz w:val="21"/>
                <w:szCs w:val="21"/>
                <w:highlight w:val="none"/>
              </w:rPr>
            </w:pPr>
            <w:r>
              <w:rPr>
                <w:rFonts w:hint="eastAsia" w:ascii="宋体" w:hAnsi="宋体" w:eastAsia="宋体" w:cs="宋体"/>
                <w:b/>
                <w:color w:val="auto"/>
                <w:spacing w:val="12"/>
                <w:sz w:val="21"/>
                <w:szCs w:val="21"/>
                <w:highlight w:val="none"/>
              </w:rPr>
              <w:t xml:space="preserve">  </w:t>
            </w:r>
            <w:r>
              <w:rPr>
                <w:rFonts w:hint="eastAsia" w:ascii="宋体" w:hAnsi="宋体" w:eastAsia="宋体" w:cs="宋体"/>
                <w:bCs/>
                <w:color w:val="auto"/>
                <w:spacing w:val="12"/>
                <w:sz w:val="21"/>
                <w:szCs w:val="21"/>
                <w:highlight w:val="none"/>
              </w:rPr>
              <w:t>2</w:t>
            </w:r>
            <w:r>
              <w:rPr>
                <w:rFonts w:hint="eastAsia" w:ascii="宋体" w:hAnsi="宋体" w:eastAsia="宋体" w:cs="宋体"/>
                <w:bCs/>
                <w:color w:val="auto"/>
                <w:spacing w:val="12"/>
                <w:sz w:val="21"/>
                <w:szCs w:val="21"/>
                <w:highlight w:val="none"/>
                <w:lang w:val="en-US" w:eastAsia="zh-CN"/>
              </w:rPr>
              <w:t>0</w:t>
            </w:r>
            <w:r>
              <w:rPr>
                <w:rFonts w:hint="eastAsia" w:ascii="宋体" w:hAnsi="宋体" w:eastAsia="宋体" w:cs="宋体"/>
                <w:bCs/>
                <w:color w:val="auto"/>
                <w:spacing w:val="12"/>
                <w:sz w:val="21"/>
                <w:szCs w:val="21"/>
                <w:highlight w:val="none"/>
              </w:rPr>
              <w:t xml:space="preserve">.染色程序：仪器运行软件中配备经质控机构验证的统一的标准化染色流程,      </w:t>
            </w:r>
          </w:p>
          <w:p>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Cs/>
                <w:color w:val="auto"/>
                <w:spacing w:val="12"/>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pacing w:val="12"/>
                <w:sz w:val="21"/>
                <w:szCs w:val="21"/>
                <w:highlight w:val="none"/>
              </w:rPr>
              <w:t>2</w:t>
            </w:r>
            <w:r>
              <w:rPr>
                <w:rFonts w:hint="eastAsia" w:ascii="宋体" w:hAnsi="宋体" w:eastAsia="宋体" w:cs="宋体"/>
                <w:bCs/>
                <w:color w:val="auto"/>
                <w:spacing w:val="12"/>
                <w:sz w:val="21"/>
                <w:szCs w:val="21"/>
                <w:highlight w:val="none"/>
                <w:lang w:val="en-US" w:eastAsia="zh-CN"/>
              </w:rPr>
              <w:t>1.</w:t>
            </w:r>
            <w:r>
              <w:rPr>
                <w:rFonts w:hint="eastAsia" w:ascii="宋体" w:hAnsi="宋体" w:eastAsia="宋体" w:cs="宋体"/>
                <w:bCs/>
                <w:color w:val="auto"/>
                <w:spacing w:val="12"/>
                <w:sz w:val="21"/>
                <w:szCs w:val="21"/>
                <w:highlight w:val="none"/>
              </w:rPr>
              <w:t xml:space="preserve"> 伴随诊断检测：可指导临床非小细胞肺癌、食管癌等的免疫治疗。 </w:t>
            </w:r>
          </w:p>
          <w:p>
            <w:pPr>
              <w:keepNext w:val="0"/>
              <w:keepLines w:val="0"/>
              <w:pageBreakBefore w:val="0"/>
              <w:kinsoku/>
              <w:wordWrap/>
              <w:overflowPunct/>
              <w:topLinePunct w:val="0"/>
              <w:autoSpaceDE/>
              <w:autoSpaceDN/>
              <w:bidi w:val="0"/>
              <w:adjustRightInd w:val="0"/>
              <w:snapToGrid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售后服务：在当地有技术支持和售后服务工程师，保证24小时响应。</w:t>
            </w:r>
          </w:p>
          <w:p>
            <w:pPr>
              <w:keepNext w:val="0"/>
              <w:keepLines w:val="0"/>
              <w:pageBreakBefore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强大的软件功能：软件可实现试剂管理、切片管理以及病例管理。</w:t>
            </w:r>
          </w:p>
          <w:p>
            <w:pPr>
              <w:pStyle w:val="5"/>
              <w:numPr>
                <w:ilvl w:val="0"/>
                <w:numId w:val="0"/>
              </w:numPr>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24.</w:t>
            </w:r>
            <w:r>
              <w:rPr>
                <w:rFonts w:hint="default" w:eastAsia="宋体" w:cs="Times New Roman"/>
                <w:color w:val="auto"/>
                <w:kern w:val="0"/>
                <w:highlight w:val="none"/>
                <w:lang w:val="en-US" w:eastAsia="zh-CN"/>
              </w:rPr>
              <w:t>全自动免疫组化染色仪</w:t>
            </w:r>
            <w:r>
              <w:rPr>
                <w:rFonts w:hint="eastAsia" w:cs="Times New Roman"/>
                <w:color w:val="auto"/>
                <w:kern w:val="0"/>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180" w:type="dxa"/>
            <w:gridSpan w:val="3"/>
            <w:tcBorders>
              <w:left w:val="single" w:color="auto" w:sz="4" w:space="0"/>
              <w:bottom w:val="single" w:color="auto" w:sz="4" w:space="0"/>
              <w:right w:val="single" w:color="auto" w:sz="4" w:space="0"/>
            </w:tcBorders>
            <w:vAlign w:val="center"/>
          </w:tcPr>
          <w:p>
            <w:pPr>
              <w:pStyle w:val="5"/>
              <w:numPr>
                <w:ilvl w:val="0"/>
                <w:numId w:val="0"/>
              </w:numPr>
              <w:rPr>
                <w:rFonts w:hint="eastAsia"/>
                <w:color w:val="auto"/>
                <w:highlight w:val="none"/>
              </w:rPr>
            </w:pPr>
            <w:r>
              <w:rPr>
                <w:rFonts w:hint="eastAsia"/>
                <w:b/>
                <w:bCs/>
                <w:color w:val="auto"/>
                <w:highlight w:val="none"/>
              </w:rPr>
              <w:t>全自动免疫组化染色仪配套试剂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9" w:hRule="atLeast"/>
        </w:trPr>
        <w:tc>
          <w:tcPr>
            <w:tcW w:w="2292" w:type="dxa"/>
            <w:tcBorders>
              <w:left w:val="single" w:color="auto" w:sz="4" w:space="0"/>
              <w:bottom w:val="single" w:color="auto" w:sz="4" w:space="0"/>
              <w:right w:val="single" w:color="auto" w:sz="4" w:space="0"/>
            </w:tcBorders>
            <w:vAlign w:val="center"/>
          </w:tcPr>
          <w:p>
            <w:pPr>
              <w:spacing w:line="400" w:lineRule="exact"/>
              <w:jc w:val="center"/>
              <w:rPr>
                <w:rFonts w:hint="default" w:eastAsia="宋体" w:cs="Times New Roman"/>
                <w:color w:val="auto"/>
                <w:kern w:val="0"/>
                <w:highlight w:val="none"/>
                <w:lang w:val="en-US" w:eastAsia="zh-CN"/>
              </w:rPr>
            </w:pPr>
            <w:r>
              <w:rPr>
                <w:rFonts w:hint="default" w:eastAsia="宋体" w:cs="Times New Roman"/>
                <w:color w:val="auto"/>
                <w:kern w:val="0"/>
                <w:highlight w:val="none"/>
                <w:lang w:val="en-US" w:eastAsia="zh-CN"/>
              </w:rPr>
              <w:t>PD-L1 22C3检测试剂盒</w:t>
            </w:r>
          </w:p>
        </w:tc>
        <w:tc>
          <w:tcPr>
            <w:tcW w:w="17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Times New Roman"/>
                <w:color w:val="auto"/>
                <w:kern w:val="0"/>
                <w:sz w:val="21"/>
                <w:szCs w:val="21"/>
                <w:highlight w:val="none"/>
                <w:lang w:val="en-US" w:eastAsia="zh-CN"/>
              </w:rPr>
            </w:pPr>
            <w:r>
              <w:rPr>
                <w:rFonts w:hint="default" w:cs="Times New Roman"/>
                <w:color w:val="auto"/>
                <w:kern w:val="0"/>
                <w:sz w:val="21"/>
                <w:szCs w:val="21"/>
                <w:highlight w:val="none"/>
                <w:lang w:val="en-US" w:eastAsia="zh-CN"/>
              </w:rPr>
              <w:t>1600元/</w:t>
            </w:r>
            <w:r>
              <w:rPr>
                <w:rFonts w:hint="eastAsia" w:cs="Times New Roman"/>
                <w:color w:val="auto"/>
                <w:kern w:val="0"/>
                <w:sz w:val="21"/>
                <w:szCs w:val="21"/>
                <w:highlight w:val="none"/>
                <w:lang w:val="en-US" w:eastAsia="zh-CN"/>
              </w:rPr>
              <w:t>次检测</w:t>
            </w:r>
          </w:p>
        </w:tc>
        <w:tc>
          <w:tcPr>
            <w:tcW w:w="5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试剂盒组成：每个试剂盒包装内包含单克隆小鼠抗PD-L1（克隆号22C3）、显色试剂-HRP、过氧化物酶阻断剂、阴性对照试剂、小鼠信号增强剂、DAB+底物缓冲液、DAB+色原、DAB增强剂、低PH值抗原修复液及质控切片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质控：每个试剂盒均已包含有细胞系对照及阴性对照试剂，细胞系对照含有两个经福尔马林固定石蜡包埋的细胞系点：PD-L1蛋白中度表达的NCI-H226*和PD-L1蛋白阴性表达的MCF-7。除此之外还需要患者组织标本的H&amp;E染色片、实验室提供的阳性和阴性质控组织，共同对PD-L1 22C3检测进行系统质控;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3、规格：每个试剂盒内试剂可足够50次检测使用，包括50张PD-L1待测切片和50张对应的阴性待测切片，共100张切片；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4、预期用途:本试剂盒用于定性检测中性福尔马林固定石蜡包埋的非小细胞肺癌和食管鳞状细胞癌组织中的PD-L1蛋白，辅助鉴别可使用KEYTRUDA®（pembrolizumab，帕博利珠单抗）治疗的非小细胞肺癌和食管鳞状细胞癌患者;</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highlight w:val="none"/>
              </w:rPr>
            </w:pPr>
            <w:r>
              <w:rPr>
                <w:rFonts w:hint="eastAsia" w:ascii="宋体" w:hAnsi="宋体" w:eastAsia="宋体" w:cs="宋体"/>
                <w:color w:val="auto"/>
                <w:highlight w:val="none"/>
              </w:rPr>
              <w:t>5、PD-L1判读评分方式：非小细胞肺癌中PD-L1蛋白的表达水平由肿瘤比例评分（TPS）来确定，即任意强度下，部分或完全膜染色的活的肿瘤细胞的百分比；食管鳞状细胞癌中PD-L1蛋白的表达水平通过联合阳性评分（CPS）来确定，即PD-L1染色细胞数（肿瘤细胞、淋巴细胞、巨噬细胞）除以存活肿瘤细胞总数，乘以100后的数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8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cs="Calibri"/>
                <w:b/>
                <w:color w:val="auto"/>
                <w:highlight w:val="none"/>
              </w:rPr>
            </w:pPr>
            <w:r>
              <w:rPr>
                <w:rFonts w:hint="eastAsia" w:cs="Calibri"/>
                <w:b/>
                <w:color w:val="auto"/>
                <w:highlight w:val="none"/>
              </w:rPr>
              <w:t>▲</w:t>
            </w:r>
            <w:r>
              <w:rPr>
                <w:rFonts w:hint="eastAsia"/>
                <w:color w:val="auto"/>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9" w:hRule="atLeast"/>
        </w:trPr>
        <w:tc>
          <w:tcPr>
            <w:tcW w:w="405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bCs/>
                <w:color w:val="auto"/>
                <w:highlight w:val="none"/>
              </w:rPr>
            </w:pPr>
            <w:r>
              <w:rPr>
                <w:rFonts w:hint="eastAsia"/>
                <w:bCs/>
                <w:color w:val="auto"/>
                <w:highlight w:val="none"/>
              </w:rPr>
              <w:t>质保期</w:t>
            </w:r>
          </w:p>
        </w:tc>
        <w:tc>
          <w:tcPr>
            <w:tcW w:w="5126"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cs="Calibri"/>
                <w:color w:val="auto"/>
                <w:highlight w:val="none"/>
              </w:rPr>
              <w:t>1</w:t>
            </w:r>
            <w:r>
              <w:rPr>
                <w:rFonts w:hint="eastAsia"/>
                <w:bCs/>
                <w:color w:val="auto"/>
                <w:highlight w:val="none"/>
              </w:rPr>
              <w:t>、竞标人应明确承诺：按国家有关产品“三包”规定执行“三包”，货物验收合格后，自安装验收合格之日起质保期主机质保期≥</w:t>
            </w:r>
            <w:r>
              <w:rPr>
                <w:rFonts w:hint="eastAsia"/>
                <w:bCs/>
                <w:color w:val="auto"/>
                <w:highlight w:val="none"/>
                <w:lang w:val="en-US" w:eastAsia="zh-CN"/>
              </w:rPr>
              <w:t>1</w:t>
            </w:r>
            <w:r>
              <w:rPr>
                <w:rFonts w:hint="eastAsia"/>
                <w:bCs/>
                <w:color w:val="auto"/>
                <w:highlight w:val="none"/>
              </w:rPr>
              <w:t>年。质保期内非人为损坏免费更换所有故障零配件，并免费提供硬件的安全性改版升级和技术支持，确保设备正常运行。</w:t>
            </w:r>
          </w:p>
          <w:p>
            <w:pPr>
              <w:spacing w:line="360" w:lineRule="exact"/>
              <w:ind w:right="97" w:rightChars="46"/>
              <w:jc w:val="left"/>
              <w:rPr>
                <w:bCs/>
                <w:color w:val="auto"/>
                <w:highlight w:val="none"/>
              </w:rPr>
            </w:pPr>
            <w:r>
              <w:rPr>
                <w:rFonts w:hint="eastAsia"/>
                <w:bCs/>
                <w:color w:val="auto"/>
                <w:highlight w:val="none"/>
              </w:rPr>
              <w:t>2、质保期所更换的零配件必须是原厂全新的零配件，满足设备运行要求。</w:t>
            </w:r>
          </w:p>
          <w:p>
            <w:pPr>
              <w:spacing w:line="360" w:lineRule="exact"/>
              <w:ind w:right="97" w:rightChars="46"/>
              <w:jc w:val="left"/>
              <w:rPr>
                <w:bCs/>
                <w:color w:val="auto"/>
                <w:highlight w:val="none"/>
              </w:rPr>
            </w:pPr>
            <w:r>
              <w:rPr>
                <w:rFonts w:hint="eastAsia"/>
                <w:bCs/>
                <w:color w:val="auto"/>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cs="Calibri"/>
                <w:color w:val="auto"/>
                <w:highlight w:val="none"/>
              </w:rPr>
            </w:pPr>
            <w:r>
              <w:rPr>
                <w:rFonts w:hint="eastAsia"/>
                <w:bCs/>
                <w:color w:val="auto"/>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05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bCs/>
                <w:color w:val="auto"/>
                <w:highlight w:val="none"/>
              </w:rPr>
            </w:pPr>
            <w:r>
              <w:rPr>
                <w:rFonts w:hint="eastAsia"/>
                <w:bCs/>
                <w:color w:val="auto"/>
                <w:highlight w:val="none"/>
              </w:rPr>
              <w:t>交货时间及地点</w:t>
            </w:r>
          </w:p>
        </w:tc>
        <w:tc>
          <w:tcPr>
            <w:tcW w:w="5126"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bCs/>
                <w:color w:val="auto"/>
                <w:highlight w:val="none"/>
              </w:rPr>
              <w:t>自签订合同之日起</w:t>
            </w:r>
            <w:r>
              <w:rPr>
                <w:rFonts w:hint="eastAsia"/>
                <w:bCs/>
                <w:color w:val="auto"/>
                <w:highlight w:val="none"/>
                <w:lang w:eastAsia="zh-CN"/>
              </w:rPr>
              <w:t>国产产品</w:t>
            </w:r>
            <w:r>
              <w:rPr>
                <w:rFonts w:hint="eastAsia"/>
                <w:bCs/>
                <w:color w:val="auto"/>
                <w:highlight w:val="none"/>
              </w:rPr>
              <w:t>30天内交货并安装调试完毕</w:t>
            </w:r>
            <w:r>
              <w:rPr>
                <w:rFonts w:hint="eastAsia"/>
                <w:bCs/>
                <w:color w:val="auto"/>
                <w:highlight w:val="none"/>
                <w:lang w:eastAsia="zh-CN"/>
              </w:rPr>
              <w:t>，进口产品</w:t>
            </w:r>
            <w:r>
              <w:rPr>
                <w:rFonts w:hint="eastAsia"/>
                <w:bCs/>
                <w:color w:val="auto"/>
                <w:highlight w:val="none"/>
                <w:lang w:val="en-US" w:eastAsia="zh-CN"/>
              </w:rPr>
              <w:t>9</w:t>
            </w:r>
            <w:r>
              <w:rPr>
                <w:rFonts w:hint="eastAsia"/>
                <w:bCs/>
                <w:color w:val="auto"/>
                <w:highlight w:val="none"/>
              </w:rPr>
              <w:t>0天内交货并安装调试完毕。</w:t>
            </w:r>
          </w:p>
          <w:p>
            <w:pPr>
              <w:spacing w:line="360" w:lineRule="exact"/>
              <w:ind w:right="-107" w:rightChars="-51"/>
              <w:jc w:val="left"/>
              <w:rPr>
                <w:bCs/>
                <w:color w:val="auto"/>
                <w:highlight w:val="none"/>
              </w:rPr>
            </w:pPr>
            <w:r>
              <w:rPr>
                <w:rFonts w:hint="eastAsia"/>
                <w:bCs/>
                <w:color w:val="auto"/>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1" w:hRule="atLeast"/>
        </w:trPr>
        <w:tc>
          <w:tcPr>
            <w:tcW w:w="405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cs="Calibri"/>
                <w:color w:val="auto"/>
                <w:highlight w:val="none"/>
              </w:rPr>
            </w:pPr>
            <w:r>
              <w:rPr>
                <w:rFonts w:hint="eastAsia" w:cs="Calibri"/>
                <w:color w:val="auto"/>
                <w:highlight w:val="none"/>
              </w:rPr>
              <w:t>付款方式</w:t>
            </w:r>
          </w:p>
        </w:tc>
        <w:tc>
          <w:tcPr>
            <w:tcW w:w="5126"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cs="Calibri"/>
                <w:color w:val="auto"/>
                <w:highlight w:val="none"/>
              </w:rPr>
            </w:pPr>
            <w:r>
              <w:rPr>
                <w:rFonts w:hint="eastAsia" w:cs="Calibri"/>
                <w:color w:val="auto"/>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w:t>
            </w:r>
            <w:r>
              <w:rPr>
                <w:rFonts w:hint="eastAsia" w:cs="Calibri"/>
                <w:color w:val="auto"/>
                <w:highlight w:val="none"/>
                <w:lang w:eastAsia="zh-CN"/>
              </w:rPr>
              <w:t>配套试剂按实际采购量进行结算，</w:t>
            </w:r>
            <w:r>
              <w:rPr>
                <w:rFonts w:hint="eastAsia" w:cs="Calibri"/>
                <w:color w:val="auto"/>
                <w:highlight w:val="none"/>
              </w:rPr>
              <w:t>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405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bCs/>
                <w:color w:val="auto"/>
                <w:highlight w:val="none"/>
              </w:rPr>
            </w:pPr>
            <w:r>
              <w:rPr>
                <w:rFonts w:hint="eastAsia"/>
                <w:bCs/>
                <w:color w:val="auto"/>
                <w:highlight w:val="none"/>
              </w:rPr>
              <w:t>履约保证金</w:t>
            </w:r>
          </w:p>
        </w:tc>
        <w:tc>
          <w:tcPr>
            <w:tcW w:w="51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bCs/>
                <w:color w:val="auto"/>
                <w:highlight w:val="none"/>
              </w:rPr>
            </w:pPr>
            <w:r>
              <w:rPr>
                <w:rFonts w:hint="eastAsia" w:cs="Calibri"/>
                <w:color w:val="auto"/>
                <w:highlight w:val="none"/>
              </w:rPr>
              <w:t>1、</w:t>
            </w:r>
            <w:r>
              <w:rPr>
                <w:rFonts w:cs="Calibri"/>
                <w:color w:val="auto"/>
                <w:highlight w:val="none"/>
              </w:rPr>
              <w:t>履约保证金</w:t>
            </w:r>
            <w:r>
              <w:rPr>
                <w:rFonts w:hint="eastAsia" w:cs="Calibri"/>
                <w:color w:val="auto"/>
                <w:highlight w:val="none"/>
              </w:rPr>
              <w:t>为合同总</w:t>
            </w:r>
            <w:r>
              <w:rPr>
                <w:rFonts w:cs="Calibri"/>
                <w:color w:val="auto"/>
                <w:highlight w:val="none"/>
              </w:rPr>
              <w:t>金额：</w:t>
            </w:r>
            <w:r>
              <w:rPr>
                <w:rFonts w:hint="eastAsia" w:cs="Calibri"/>
                <w:color w:val="auto"/>
                <w:highlight w:val="none"/>
                <w:lang w:eastAsia="zh-CN"/>
              </w:rPr>
              <w:t>无</w:t>
            </w:r>
            <w:r>
              <w:rPr>
                <w:rFonts w:hint="eastAsia" w:cs="Calibri"/>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405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Calibri"/>
                <w:color w:val="auto"/>
                <w:highlight w:val="none"/>
              </w:rPr>
            </w:pPr>
            <w:r>
              <w:rPr>
                <w:rFonts w:hint="eastAsia" w:cs="Calibri"/>
                <w:color w:val="auto"/>
                <w:highlight w:val="none"/>
              </w:rPr>
              <w:t>售后服务要求</w:t>
            </w:r>
          </w:p>
        </w:tc>
        <w:tc>
          <w:tcPr>
            <w:tcW w:w="5126"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bCs/>
                <w:color w:val="auto"/>
                <w:highlight w:val="none"/>
              </w:rPr>
            </w:pPr>
            <w:r>
              <w:rPr>
                <w:rFonts w:hint="eastAsia"/>
                <w:bCs/>
                <w:color w:val="auto"/>
                <w:highlight w:val="none"/>
              </w:rPr>
              <w:t>1、免费送货上门、安装调试，免费培训，安装完成后成交供应商负责清理产生的木箱等垃圾；</w:t>
            </w:r>
          </w:p>
          <w:p>
            <w:pPr>
              <w:spacing w:line="360" w:lineRule="exact"/>
              <w:ind w:right="97" w:rightChars="46"/>
              <w:jc w:val="left"/>
              <w:rPr>
                <w:bCs/>
                <w:color w:val="auto"/>
                <w:highlight w:val="none"/>
              </w:rPr>
            </w:pPr>
            <w:r>
              <w:rPr>
                <w:rFonts w:hint="eastAsia"/>
                <w:bCs/>
                <w:color w:val="auto"/>
                <w:highlight w:val="none"/>
              </w:rPr>
              <w:t>2、竞标人应提出可行的售后服务承诺书；</w:t>
            </w:r>
          </w:p>
          <w:p>
            <w:pPr>
              <w:spacing w:line="360" w:lineRule="exact"/>
              <w:ind w:right="97" w:rightChars="46"/>
              <w:jc w:val="left"/>
              <w:rPr>
                <w:bCs/>
                <w:color w:val="auto"/>
                <w:highlight w:val="none"/>
              </w:rPr>
            </w:pPr>
            <w:r>
              <w:rPr>
                <w:rFonts w:hint="eastAsia"/>
                <w:bCs/>
                <w:color w:val="auto"/>
                <w:highlight w:val="none"/>
              </w:rPr>
              <w:t>3、按厂家承诺实行“三包”；</w:t>
            </w:r>
          </w:p>
          <w:p>
            <w:pPr>
              <w:spacing w:line="360" w:lineRule="exact"/>
              <w:ind w:right="97" w:rightChars="46"/>
              <w:jc w:val="left"/>
              <w:rPr>
                <w:rFonts w:hint="eastAsia"/>
                <w:bCs/>
                <w:color w:val="auto"/>
                <w:highlight w:val="none"/>
              </w:rPr>
            </w:pPr>
            <w:r>
              <w:rPr>
                <w:rFonts w:hint="eastAsia"/>
                <w:bCs/>
                <w:color w:val="auto"/>
                <w:highlight w:val="none"/>
              </w:rPr>
              <w:t>4、竞标报价包括货物的所有费用，包括采购、运输、安装、劳务、管理、利润、税金、保险、协调、培训、售后服务、配送产品以及所有的不定因素的风险等；</w:t>
            </w:r>
          </w:p>
          <w:p>
            <w:pPr>
              <w:pStyle w:val="6"/>
              <w:rPr>
                <w:rFonts w:hint="eastAsia" w:ascii="宋体" w:hAnsi="宋体" w:eastAsia="宋体" w:cs="Arial"/>
                <w:b w:val="0"/>
                <w:bCs/>
                <w:color w:val="auto"/>
                <w:kern w:val="2"/>
                <w:sz w:val="21"/>
                <w:szCs w:val="21"/>
                <w:highlight w:val="none"/>
                <w:lang w:val="en-US" w:eastAsia="zh-CN" w:bidi="ar-SA"/>
              </w:rPr>
            </w:pPr>
            <w:r>
              <w:rPr>
                <w:rFonts w:hint="eastAsia" w:ascii="宋体" w:hAnsi="宋体" w:eastAsia="宋体" w:cs="Arial"/>
                <w:b w:val="0"/>
                <w:bCs/>
                <w:color w:val="auto"/>
                <w:kern w:val="2"/>
                <w:sz w:val="21"/>
                <w:szCs w:val="21"/>
                <w:highlight w:val="none"/>
                <w:lang w:val="en-US" w:eastAsia="zh-CN" w:bidi="ar-SA"/>
              </w:rPr>
              <w:t>5、</w:t>
            </w:r>
            <w:r>
              <w:rPr>
                <w:rFonts w:hint="eastAsia" w:ascii="宋体" w:hAnsi="宋体" w:eastAsia="宋体" w:cs="Arial"/>
                <w:b/>
                <w:bCs w:val="0"/>
                <w:color w:val="auto"/>
                <w:kern w:val="2"/>
                <w:sz w:val="21"/>
                <w:szCs w:val="21"/>
                <w:highlight w:val="none"/>
                <w:lang w:val="en-US" w:eastAsia="zh-CN" w:bidi="ar-SA"/>
              </w:rPr>
              <w:t>如医院有需求，中标公司负责向该产品接入医院的HIS系统，LIS系统，PA</w:t>
            </w:r>
            <w:r>
              <w:rPr>
                <w:rFonts w:hint="eastAsia" w:cs="Arial"/>
                <w:b/>
                <w:bCs w:val="0"/>
                <w:color w:val="auto"/>
                <w:kern w:val="2"/>
                <w:sz w:val="21"/>
                <w:szCs w:val="21"/>
                <w:highlight w:val="none"/>
                <w:lang w:val="en-US" w:eastAsia="zh-CN" w:bidi="ar-SA"/>
              </w:rPr>
              <w:t>C</w:t>
            </w:r>
            <w:r>
              <w:rPr>
                <w:rFonts w:hint="eastAsia" w:ascii="宋体" w:hAnsi="宋体" w:eastAsia="宋体" w:cs="Arial"/>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bCs/>
                <w:color w:val="auto"/>
                <w:highlight w:val="none"/>
              </w:rPr>
            </w:pPr>
            <w:r>
              <w:rPr>
                <w:rFonts w:hint="eastAsia"/>
                <w:bCs/>
                <w:color w:val="auto"/>
                <w:highlight w:val="none"/>
                <w:lang w:val="en-US" w:eastAsia="zh-CN"/>
              </w:rPr>
              <w:t>6</w:t>
            </w:r>
            <w:r>
              <w:rPr>
                <w:rFonts w:hint="eastAsia"/>
                <w:bCs/>
                <w:color w:val="auto"/>
                <w:highlight w:val="none"/>
              </w:rPr>
              <w:t>、备件、技术及维修服务，培训要求及其它：</w:t>
            </w:r>
          </w:p>
          <w:p>
            <w:pPr>
              <w:spacing w:line="360" w:lineRule="exact"/>
              <w:ind w:right="97" w:rightChars="46"/>
              <w:jc w:val="left"/>
              <w:rPr>
                <w:bCs/>
                <w:color w:val="auto"/>
                <w:highlight w:val="none"/>
              </w:rPr>
            </w:pPr>
            <w:r>
              <w:rPr>
                <w:rFonts w:hint="eastAsia"/>
                <w:bCs/>
                <w:color w:val="auto"/>
                <w:highlight w:val="none"/>
              </w:rPr>
              <w:t>（1）备件要求：竞标人或厂家应在用户当地或省会中心城市设置备件库，存入所有必须的备件，保证必要时可以及时供应；</w:t>
            </w:r>
          </w:p>
          <w:p>
            <w:pPr>
              <w:spacing w:line="360" w:lineRule="exact"/>
              <w:ind w:right="97" w:rightChars="46"/>
              <w:jc w:val="left"/>
              <w:rPr>
                <w:bCs/>
                <w:color w:val="auto"/>
                <w:highlight w:val="none"/>
              </w:rPr>
            </w:pPr>
            <w:r>
              <w:rPr>
                <w:rFonts w:hint="eastAsia"/>
                <w:bCs/>
                <w:color w:val="auto"/>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bCs/>
                <w:color w:val="auto"/>
                <w:highlight w:val="none"/>
              </w:rPr>
            </w:pPr>
            <w:r>
              <w:rPr>
                <w:rFonts w:hint="eastAsia"/>
                <w:bCs/>
                <w:color w:val="auto"/>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bCs/>
                <w:color w:val="auto"/>
                <w:highlight w:val="none"/>
              </w:rPr>
            </w:pPr>
            <w:r>
              <w:rPr>
                <w:rFonts w:hint="eastAsia"/>
                <w:bCs/>
                <w:color w:val="auto"/>
                <w:highlight w:val="none"/>
              </w:rPr>
              <w:t>（4）质保期内设备发生故障时，现场响应时间</w:t>
            </w:r>
            <w:r>
              <w:rPr>
                <w:rFonts w:hint="eastAsia"/>
                <w:bCs/>
                <w:color w:val="auto"/>
                <w:highlight w:val="none"/>
                <w:lang w:val="en-US" w:eastAsia="zh-CN"/>
              </w:rPr>
              <w:t>24</w:t>
            </w:r>
            <w:r>
              <w:rPr>
                <w:rFonts w:hint="eastAsia"/>
                <w:bCs/>
                <w:color w:val="auto"/>
                <w:highlight w:val="none"/>
              </w:rPr>
              <w:t>小时以内，维修响应时间小于</w:t>
            </w:r>
            <w:r>
              <w:rPr>
                <w:rFonts w:hint="eastAsia"/>
                <w:bCs/>
                <w:color w:val="auto"/>
                <w:highlight w:val="none"/>
                <w:lang w:val="en-US" w:eastAsia="zh-CN"/>
              </w:rPr>
              <w:t>24</w:t>
            </w:r>
            <w:r>
              <w:rPr>
                <w:rFonts w:hint="eastAsia"/>
                <w:bCs/>
                <w:color w:val="auto"/>
                <w:highlight w:val="none"/>
              </w:rPr>
              <w:t>小时，工程师到场时间小于</w:t>
            </w:r>
            <w:r>
              <w:rPr>
                <w:rFonts w:hint="eastAsia"/>
                <w:bCs/>
                <w:color w:val="auto"/>
                <w:highlight w:val="none"/>
                <w:lang w:val="en-US" w:eastAsia="zh-CN"/>
              </w:rPr>
              <w:t>36</w:t>
            </w:r>
            <w:r>
              <w:rPr>
                <w:rFonts w:hint="eastAsia"/>
                <w:bCs/>
                <w:color w:val="auto"/>
                <w:highlight w:val="none"/>
              </w:rPr>
              <w:t>小时，维修中所需要零配件供应最长时间不超过7天。特殊情况无</w:t>
            </w:r>
            <w:bookmarkStart w:id="3" w:name="_GoBack"/>
            <w:bookmarkEnd w:id="3"/>
            <w:r>
              <w:rPr>
                <w:rFonts w:hint="eastAsia"/>
                <w:bCs/>
                <w:color w:val="auto"/>
                <w:highlight w:val="none"/>
              </w:rPr>
              <w:t>法到达须提前与科室或设备主管科室沟通。如需更换配件，则小配件</w:t>
            </w:r>
            <w:r>
              <w:rPr>
                <w:rFonts w:hint="eastAsia"/>
                <w:bCs/>
                <w:color w:val="auto"/>
                <w:highlight w:val="none"/>
                <w:lang w:val="en-US" w:eastAsia="zh-CN"/>
              </w:rPr>
              <w:t>7</w:t>
            </w:r>
            <w:r>
              <w:rPr>
                <w:rFonts w:hint="eastAsia"/>
                <w:bCs/>
                <w:color w:val="auto"/>
                <w:highlight w:val="none"/>
              </w:rPr>
              <w:t>个工作日内更换完毕，大配件</w:t>
            </w:r>
            <w:r>
              <w:rPr>
                <w:rFonts w:hint="eastAsia"/>
                <w:bCs/>
                <w:color w:val="auto"/>
                <w:highlight w:val="none"/>
                <w:lang w:val="en-US" w:eastAsia="zh-CN"/>
              </w:rPr>
              <w:t>15</w:t>
            </w:r>
            <w:r>
              <w:rPr>
                <w:rFonts w:hint="eastAsia"/>
                <w:bCs/>
                <w:color w:val="auto"/>
                <w:highlight w:val="none"/>
              </w:rPr>
              <w:t>个工作日内更换完毕，当配件等待周期大于</w:t>
            </w:r>
            <w:r>
              <w:rPr>
                <w:rFonts w:hint="eastAsia"/>
                <w:bCs/>
                <w:color w:val="auto"/>
                <w:highlight w:val="none"/>
                <w:lang w:val="en-US" w:eastAsia="zh-CN"/>
              </w:rPr>
              <w:t>15</w:t>
            </w:r>
            <w:r>
              <w:rPr>
                <w:rFonts w:hint="eastAsia"/>
                <w:bCs/>
                <w:color w:val="auto"/>
                <w:highlight w:val="none"/>
              </w:rPr>
              <w:t>个工作日时，成交供应商应按照科室要求提供备用机。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0" w:hRule="atLeast"/>
        </w:trPr>
        <w:tc>
          <w:tcPr>
            <w:tcW w:w="405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Calibri"/>
                <w:color w:val="auto"/>
                <w:highlight w:val="none"/>
              </w:rPr>
            </w:pPr>
            <w:r>
              <w:rPr>
                <w:rFonts w:hint="eastAsia" w:cs="Calibri"/>
                <w:color w:val="auto"/>
                <w:highlight w:val="none"/>
              </w:rPr>
              <w:t>其它要求</w:t>
            </w:r>
          </w:p>
        </w:tc>
        <w:tc>
          <w:tcPr>
            <w:tcW w:w="5126"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color w:val="auto"/>
                <w:highlight w:val="none"/>
              </w:rPr>
            </w:pPr>
            <w:r>
              <w:rPr>
                <w:rFonts w:hint="eastAsia"/>
                <w:color w:val="auto"/>
                <w:highlight w:val="none"/>
              </w:rPr>
              <w:t>1、</w:t>
            </w:r>
            <w:r>
              <w:rPr>
                <w:color w:val="auto"/>
                <w:highlight w:val="none"/>
              </w:rPr>
              <w:t>成交供应商保证向采购人提供的货物是全新、完整、未使用过的</w:t>
            </w:r>
            <w:r>
              <w:rPr>
                <w:rFonts w:hint="eastAsia"/>
                <w:color w:val="auto"/>
                <w:highlight w:val="none"/>
              </w:rPr>
              <w:t>。</w:t>
            </w:r>
          </w:p>
          <w:p>
            <w:pPr>
              <w:spacing w:line="360" w:lineRule="exact"/>
              <w:ind w:right="97" w:rightChars="46"/>
              <w:jc w:val="left"/>
              <w:rPr>
                <w:color w:val="auto"/>
                <w:highlight w:val="none"/>
              </w:rPr>
            </w:pPr>
            <w:r>
              <w:rPr>
                <w:rFonts w:hint="eastAsia"/>
                <w:color w:val="auto"/>
                <w:highlight w:val="none"/>
              </w:rPr>
              <w:t>2、竞标时提供竞标产品彩色图片或说明书。</w:t>
            </w:r>
          </w:p>
          <w:p>
            <w:pPr>
              <w:spacing w:line="360" w:lineRule="exact"/>
              <w:ind w:right="97" w:rightChars="46"/>
              <w:jc w:val="left"/>
              <w:rPr>
                <w:color w:val="auto"/>
                <w:highlight w:val="none"/>
              </w:rPr>
            </w:pPr>
            <w:r>
              <w:rPr>
                <w:rFonts w:hint="eastAsia"/>
                <w:color w:val="auto"/>
                <w:highlight w:val="none"/>
              </w:rPr>
              <w:t>3、采购人设备主管科室对本合同质保服务内容进行全程对接和监督，并对服务情况进行客观记录，在每个合同年度期结束时，由设备主管科室根据合同约定的服务内容、响应情况、服务态度及过程记录。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color w:val="auto"/>
                <w:highlight w:val="none"/>
              </w:rPr>
            </w:pPr>
            <w:r>
              <w:rPr>
                <w:color w:val="auto"/>
                <w:highlight w:val="none"/>
              </w:rPr>
              <w:t>4</w:t>
            </w:r>
            <w:r>
              <w:rPr>
                <w:rFonts w:hint="eastAsia"/>
                <w:color w:val="auto"/>
                <w:highlight w:val="none"/>
              </w:rPr>
              <w:t>、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p>
            <w:pPr>
              <w:pStyle w:val="5"/>
              <w:rPr>
                <w:color w:val="auto"/>
                <w:highlight w:val="none"/>
              </w:rPr>
            </w:pPr>
            <w:r>
              <w:rPr>
                <w:rFonts w:hint="eastAsia" w:ascii="Calibri" w:cs="Calibri"/>
                <w:color w:val="auto"/>
                <w:szCs w:val="24"/>
                <w:highlight w:val="none"/>
                <w:lang w:val="en-US" w:eastAsia="zh-CN"/>
              </w:rPr>
              <w:t>5、</w:t>
            </w:r>
            <w:r>
              <w:rPr>
                <w:rFonts w:hint="eastAsia"/>
                <w:b/>
                <w:bCs/>
                <w:color w:val="auto"/>
                <w:highlight w:val="none"/>
              </w:rPr>
              <w:t>全自动免疫组化染色仪</w:t>
            </w:r>
            <w:r>
              <w:rPr>
                <w:rFonts w:hint="eastAsia" w:cs="宋体"/>
                <w:b/>
                <w:bCs/>
                <w:color w:val="auto"/>
                <w:highlight w:val="none"/>
                <w:lang w:val="en-US" w:eastAsia="zh-CN"/>
              </w:rPr>
              <w:t>与配套试剂耗材必须能配套使用。</w:t>
            </w:r>
          </w:p>
        </w:tc>
      </w:tr>
    </w:tbl>
    <w:p/>
    <w:sectPr>
      <w:pgSz w:w="11906" w:h="16838"/>
      <w:pgMar w:top="1134" w:right="1418" w:bottom="1134" w:left="1418" w:header="709" w:footer="709" w:gutter="0"/>
      <w:pgNumType w:start="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12914D5E"/>
    <w:rsid w:val="09053608"/>
    <w:rsid w:val="12914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paragraph" w:styleId="4">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rPr>
      <w:sz w:val="28"/>
    </w:rPr>
  </w:style>
  <w:style w:type="paragraph" w:styleId="3">
    <w:name w:val="Plain Text"/>
    <w:basedOn w:val="1"/>
    <w:next w:val="4"/>
    <w:qFormat/>
    <w:uiPriority w:val="0"/>
    <w:rPr>
      <w:rFonts w:hAnsi="Courier New" w:cs="Times New Roman"/>
      <w:szCs w:val="20"/>
    </w:rPr>
  </w:style>
  <w:style w:type="paragraph" w:styleId="5">
    <w:name w:val="Body Text"/>
    <w:basedOn w:val="1"/>
    <w:qFormat/>
    <w:uiPriority w:val="0"/>
    <w:rPr>
      <w:rFonts w:cs="Times New Roman"/>
    </w:rPr>
  </w:style>
  <w:style w:type="paragraph" w:styleId="6">
    <w:name w:val="index 4"/>
    <w:basedOn w:val="1"/>
    <w:next w:val="1"/>
    <w:unhideWhenUsed/>
    <w:qFormat/>
    <w:uiPriority w:val="99"/>
    <w:rPr>
      <w:b/>
      <w:sz w:val="24"/>
      <w:lang w:val="zh-CN"/>
    </w:rPr>
  </w:style>
  <w:style w:type="paragraph" w:customStyle="1" w:styleId="9">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2023-01-16T10:41:00Z</dcterms:created>
  <dc:creator>NTKO</dc:creator>
  <cp:lastModifiedBy>NTKO</cp:lastModifiedBy>
  <dcterms:modified xsi:type="dcterms:W3CDTF">2023-01-16T10:41:38Z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4D8BB28F34764B8EB7EDF68B860D149E</vt:lpwstr>
  </property>
</Properties>
</file>